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BA764" w14:textId="77777777" w:rsidR="00DC4679" w:rsidRPr="00DC4679" w:rsidRDefault="00DC4679" w:rsidP="00DC4679">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DC4679">
        <w:rPr>
          <w:rFonts w:ascii="Maiandra GD" w:hAnsi="Maiandra GD" w:cs="Tahoma"/>
          <w:b/>
          <w:color w:val="1E4A79"/>
          <w:spacing w:val="5"/>
          <w:sz w:val="28"/>
          <w:szCs w:val="28"/>
          <w14:ligatures w14:val="none"/>
        </w:rPr>
        <w:t>SESSION CONCEPT NOTE VI</w:t>
      </w:r>
    </w:p>
    <w:p w14:paraId="3CE17807" w14:textId="77777777" w:rsidR="00DC4679" w:rsidRPr="00FB6A3B" w:rsidRDefault="00DC4679" w:rsidP="00DC4679">
      <w:pPr>
        <w:pStyle w:val="Subtitle"/>
        <w:jc w:val="center"/>
        <w:rPr>
          <w:rFonts w:ascii="Maiandra GD" w:hAnsi="Maiandra GD" w:cs="Tahoma"/>
          <w:color w:val="000000" w:themeColor="text1"/>
          <w:sz w:val="24"/>
        </w:rPr>
      </w:pPr>
      <w:r w:rsidRPr="00FB6A3B">
        <w:rPr>
          <w:rFonts w:ascii="Maiandra GD" w:hAnsi="Maiandra GD" w:cs="Tahoma"/>
          <w:color w:val="000000" w:themeColor="text1"/>
          <w:sz w:val="24"/>
        </w:rPr>
        <w:t>Panel VI for the 1st National Qualifications Conference 2026</w:t>
      </w:r>
    </w:p>
    <w:tbl>
      <w:tblPr>
        <w:tblStyle w:val="TableGrid"/>
        <w:tblW w:w="0" w:type="auto"/>
        <w:jc w:val="center"/>
        <w:tblLook w:val="04A0" w:firstRow="1" w:lastRow="0" w:firstColumn="1" w:lastColumn="0" w:noHBand="0" w:noVBand="1"/>
      </w:tblPr>
      <w:tblGrid>
        <w:gridCol w:w="2925"/>
        <w:gridCol w:w="6958"/>
      </w:tblGrid>
      <w:tr w:rsidR="00DC4679" w:rsidRPr="00FB6A3B" w14:paraId="1B9120B4" w14:textId="77777777" w:rsidTr="000F369C">
        <w:trPr>
          <w:jc w:val="center"/>
        </w:trPr>
        <w:tc>
          <w:tcPr>
            <w:tcW w:w="2957" w:type="dxa"/>
            <w:shd w:val="clear" w:color="auto" w:fill="D9E7F5"/>
            <w:tcMar>
              <w:top w:w="80" w:type="dxa"/>
              <w:left w:w="120" w:type="dxa"/>
              <w:bottom w:w="80" w:type="dxa"/>
              <w:right w:w="120" w:type="dxa"/>
            </w:tcMar>
            <w:vAlign w:val="center"/>
          </w:tcPr>
          <w:p w14:paraId="30C67012" w14:textId="77777777" w:rsidR="00DC4679" w:rsidRPr="00FB6A3B" w:rsidRDefault="00DC4679" w:rsidP="000F369C">
            <w:pPr>
              <w:spacing w:line="360" w:lineRule="auto"/>
              <w:jc w:val="both"/>
              <w:rPr>
                <w:rFonts w:ascii="Maiandra GD" w:hAnsi="Maiandra GD" w:cs="Tahoma"/>
                <w:color w:val="000000" w:themeColor="text1"/>
              </w:rPr>
            </w:pPr>
            <w:r w:rsidRPr="00FB6A3B">
              <w:rPr>
                <w:rFonts w:ascii="Maiandra GD" w:hAnsi="Maiandra GD" w:cs="Tahoma"/>
                <w:b/>
                <w:color w:val="000000" w:themeColor="text1"/>
              </w:rPr>
              <w:t>Session title</w:t>
            </w:r>
          </w:p>
        </w:tc>
        <w:tc>
          <w:tcPr>
            <w:tcW w:w="7056" w:type="dxa"/>
            <w:tcMar>
              <w:top w:w="80" w:type="dxa"/>
              <w:left w:w="120" w:type="dxa"/>
              <w:bottom w:w="80" w:type="dxa"/>
              <w:right w:w="120" w:type="dxa"/>
            </w:tcMar>
            <w:vAlign w:val="center"/>
          </w:tcPr>
          <w:p w14:paraId="47C63FF9" w14:textId="22A0E929" w:rsidR="00DC4679" w:rsidRPr="00FB6A3B" w:rsidRDefault="00FC4ECE" w:rsidP="000F369C">
            <w:pPr>
              <w:spacing w:line="360" w:lineRule="auto"/>
              <w:jc w:val="both"/>
              <w:rPr>
                <w:rFonts w:ascii="Maiandra GD" w:eastAsia="Times New Roman" w:hAnsi="Maiandra GD" w:cs="Times New Roman"/>
                <w:color w:val="000000" w:themeColor="text1"/>
              </w:rPr>
            </w:pPr>
            <w:r w:rsidRPr="00BB1CF1">
              <w:rPr>
                <w:rFonts w:ascii="Maiandra GD" w:hAnsi="Maiandra GD"/>
                <w:b/>
              </w:rPr>
              <w:t xml:space="preserve">Keynote Address </w:t>
            </w:r>
            <w:r>
              <w:rPr>
                <w:rFonts w:ascii="Maiandra GD" w:hAnsi="Maiandra GD"/>
                <w:b/>
              </w:rPr>
              <w:t>6</w:t>
            </w:r>
            <w:r w:rsidRPr="00BB1CF1">
              <w:rPr>
                <w:rFonts w:ascii="Maiandra GD" w:hAnsi="Maiandra GD"/>
                <w:b/>
              </w:rPr>
              <w:t>:</w:t>
            </w:r>
            <w:r w:rsidRPr="00566D54">
              <w:rPr>
                <w:rFonts w:ascii="Maiandra GD" w:hAnsi="Maiandra GD"/>
                <w:bCs/>
              </w:rPr>
              <w:t xml:space="preserve"> </w:t>
            </w:r>
            <w:r w:rsidR="00DC4679" w:rsidRPr="4AC5CB0E">
              <w:rPr>
                <w:rFonts w:ascii="Maiandra GD" w:hAnsi="Maiandra GD" w:cs="Tahoma"/>
                <w:color w:val="000000" w:themeColor="text1"/>
              </w:rPr>
              <w:t xml:space="preserve">Expanding Access and Inclusion: Building Flexible and Lifelong Learning Pathways </w:t>
            </w:r>
            <w:r w:rsidR="00965C39">
              <w:rPr>
                <w:rFonts w:ascii="Maiandra GD" w:hAnsi="Maiandra GD" w:cs="Tahoma"/>
                <w:color w:val="000000" w:themeColor="text1"/>
              </w:rPr>
              <w:t>by embracing</w:t>
            </w:r>
            <w:r w:rsidR="00965C39" w:rsidRPr="4AC5CB0E">
              <w:rPr>
                <w:rFonts w:ascii="Maiandra GD" w:hAnsi="Maiandra GD" w:cs="Tahoma"/>
                <w:color w:val="000000" w:themeColor="text1"/>
              </w:rPr>
              <w:t xml:space="preserve"> </w:t>
            </w:r>
            <w:r w:rsidR="00DC4679" w:rsidRPr="4AC5CB0E">
              <w:rPr>
                <w:rFonts w:ascii="Maiandra GD" w:hAnsi="Maiandra GD" w:cs="Tahoma"/>
                <w:color w:val="000000" w:themeColor="text1"/>
              </w:rPr>
              <w:t>Micro-Credentials.</w:t>
            </w:r>
          </w:p>
        </w:tc>
      </w:tr>
      <w:tr w:rsidR="00DC4679" w:rsidRPr="00FB6A3B" w14:paraId="0E3F029B" w14:textId="77777777" w:rsidTr="000F369C">
        <w:trPr>
          <w:trHeight w:val="342"/>
          <w:jc w:val="center"/>
        </w:trPr>
        <w:tc>
          <w:tcPr>
            <w:tcW w:w="2957" w:type="dxa"/>
            <w:shd w:val="clear" w:color="auto" w:fill="D9E7F5"/>
            <w:tcMar>
              <w:top w:w="80" w:type="dxa"/>
              <w:left w:w="120" w:type="dxa"/>
              <w:bottom w:w="80" w:type="dxa"/>
              <w:right w:w="120" w:type="dxa"/>
            </w:tcMar>
            <w:vAlign w:val="center"/>
          </w:tcPr>
          <w:p w14:paraId="29A06CCA" w14:textId="77777777" w:rsidR="00DC4679" w:rsidRPr="00FB6A3B" w:rsidRDefault="00DC4679" w:rsidP="000F369C">
            <w:pPr>
              <w:spacing w:line="360" w:lineRule="auto"/>
              <w:jc w:val="both"/>
              <w:rPr>
                <w:rFonts w:ascii="Maiandra GD" w:hAnsi="Maiandra GD" w:cs="Tahoma"/>
                <w:color w:val="000000" w:themeColor="text1"/>
              </w:rPr>
            </w:pPr>
            <w:r w:rsidRPr="00FB6A3B">
              <w:rPr>
                <w:rFonts w:ascii="Maiandra GD" w:hAnsi="Maiandra GD" w:cs="Tahoma"/>
                <w:b/>
                <w:color w:val="000000" w:themeColor="text1"/>
              </w:rPr>
              <w:t>Proposed duration</w:t>
            </w:r>
          </w:p>
        </w:tc>
        <w:tc>
          <w:tcPr>
            <w:tcW w:w="7056" w:type="dxa"/>
            <w:tcMar>
              <w:top w:w="80" w:type="dxa"/>
              <w:left w:w="120" w:type="dxa"/>
              <w:bottom w:w="80" w:type="dxa"/>
              <w:right w:w="120" w:type="dxa"/>
            </w:tcMar>
            <w:vAlign w:val="center"/>
          </w:tcPr>
          <w:p w14:paraId="0A7A3B3B" w14:textId="5071A54D" w:rsidR="00DC4679" w:rsidRPr="00FB6A3B" w:rsidRDefault="00DC4679" w:rsidP="000F369C">
            <w:pPr>
              <w:spacing w:line="360" w:lineRule="auto"/>
              <w:jc w:val="both"/>
              <w:rPr>
                <w:rFonts w:ascii="Maiandra GD" w:hAnsi="Maiandra GD" w:cs="Tahoma"/>
                <w:color w:val="000000" w:themeColor="text1"/>
              </w:rPr>
            </w:pPr>
            <w:r w:rsidRPr="00FB6A3B">
              <w:rPr>
                <w:rFonts w:ascii="Maiandra GD" w:hAnsi="Maiandra GD" w:cs="Tahoma"/>
                <w:color w:val="000000" w:themeColor="text1"/>
              </w:rPr>
              <w:t>60 minutes</w:t>
            </w:r>
            <w:r w:rsidR="001638BC">
              <w:rPr>
                <w:rFonts w:ascii="Maiandra GD" w:hAnsi="Maiandra GD" w:cs="Tahoma"/>
                <w:color w:val="000000" w:themeColor="text1"/>
              </w:rPr>
              <w:t xml:space="preserve"> [</w:t>
            </w:r>
            <w:r w:rsidR="001638BC" w:rsidRPr="001638BC">
              <w:rPr>
                <w:rFonts w:ascii="Maiandra GD" w:hAnsi="Maiandra GD" w:cs="Tahoma"/>
                <w:b/>
                <w:bCs/>
                <w:color w:val="000000" w:themeColor="text1"/>
              </w:rPr>
              <w:t xml:space="preserve">1 </w:t>
            </w:r>
            <w:r w:rsidR="001638BC">
              <w:rPr>
                <w:rFonts w:ascii="Maiandra GD" w:hAnsi="Maiandra GD" w:cs="Tahoma"/>
                <w:color w:val="000000" w:themeColor="text1"/>
              </w:rPr>
              <w:t>Hour]</w:t>
            </w:r>
          </w:p>
        </w:tc>
      </w:tr>
      <w:tr w:rsidR="00DC4679" w:rsidRPr="00FB6A3B" w14:paraId="36457CAC" w14:textId="77777777" w:rsidTr="000F369C">
        <w:trPr>
          <w:jc w:val="center"/>
        </w:trPr>
        <w:tc>
          <w:tcPr>
            <w:tcW w:w="2957" w:type="dxa"/>
            <w:shd w:val="clear" w:color="auto" w:fill="D9E7F5"/>
            <w:tcMar>
              <w:top w:w="80" w:type="dxa"/>
              <w:left w:w="120" w:type="dxa"/>
              <w:bottom w:w="80" w:type="dxa"/>
              <w:right w:w="120" w:type="dxa"/>
            </w:tcMar>
            <w:vAlign w:val="center"/>
          </w:tcPr>
          <w:p w14:paraId="2253A251" w14:textId="77777777" w:rsidR="00DC4679" w:rsidRPr="00FB6A3B" w:rsidRDefault="00DC4679" w:rsidP="000F369C">
            <w:pPr>
              <w:spacing w:line="360" w:lineRule="auto"/>
              <w:jc w:val="both"/>
              <w:rPr>
                <w:rFonts w:ascii="Maiandra GD" w:hAnsi="Maiandra GD" w:cs="Tahoma"/>
                <w:color w:val="000000" w:themeColor="text1"/>
              </w:rPr>
            </w:pPr>
            <w:r w:rsidRPr="00FB6A3B">
              <w:rPr>
                <w:rFonts w:ascii="Maiandra GD" w:hAnsi="Maiandra GD" w:cs="Tahoma"/>
                <w:b/>
                <w:color w:val="000000" w:themeColor="text1"/>
              </w:rPr>
              <w:t>Format</w:t>
            </w:r>
          </w:p>
        </w:tc>
        <w:tc>
          <w:tcPr>
            <w:tcW w:w="7056" w:type="dxa"/>
            <w:tcMar>
              <w:top w:w="80" w:type="dxa"/>
              <w:left w:w="120" w:type="dxa"/>
              <w:bottom w:w="80" w:type="dxa"/>
              <w:right w:w="120" w:type="dxa"/>
            </w:tcMar>
            <w:vAlign w:val="center"/>
          </w:tcPr>
          <w:p w14:paraId="7D86C521" w14:textId="77777777" w:rsidR="00DC4679" w:rsidRPr="00FB6A3B" w:rsidRDefault="00DC4679" w:rsidP="000F369C">
            <w:pPr>
              <w:spacing w:line="360" w:lineRule="auto"/>
              <w:jc w:val="both"/>
              <w:rPr>
                <w:rFonts w:ascii="Maiandra GD" w:hAnsi="Maiandra GD" w:cs="Tahoma"/>
                <w:color w:val="000000" w:themeColor="text1"/>
              </w:rPr>
            </w:pPr>
            <w:r w:rsidRPr="00FB6A3B">
              <w:rPr>
                <w:rFonts w:ascii="Maiandra GD" w:hAnsi="Maiandra GD" w:cs="Tahoma"/>
                <w:color w:val="000000" w:themeColor="text1"/>
              </w:rPr>
              <w:t>Moderated high-level policy panel with audience engagement</w:t>
            </w:r>
          </w:p>
        </w:tc>
      </w:tr>
    </w:tbl>
    <w:p w14:paraId="22CCABBA" w14:textId="77777777" w:rsidR="00DC4679" w:rsidRPr="00FB6A3B" w:rsidRDefault="00DC4679" w:rsidP="00DC4679">
      <w:pPr>
        <w:pStyle w:val="Heading1"/>
        <w:spacing w:before="0" w:after="0" w:line="240" w:lineRule="auto"/>
        <w:jc w:val="both"/>
        <w:rPr>
          <w:rFonts w:ascii="Maiandra GD" w:hAnsi="Maiandra GD" w:cs="Tahoma"/>
          <w:color w:val="000000" w:themeColor="text1"/>
          <w:sz w:val="22"/>
          <w:szCs w:val="22"/>
        </w:rPr>
      </w:pPr>
    </w:p>
    <w:p w14:paraId="20E4BEDC" w14:textId="77777777" w:rsidR="00DC4679" w:rsidRPr="00E656C2" w:rsidRDefault="00DC4679" w:rsidP="00DC4679">
      <w:pPr>
        <w:pStyle w:val="Heading1"/>
        <w:numPr>
          <w:ilvl w:val="0"/>
          <w:numId w:val="19"/>
        </w:numPr>
        <w:tabs>
          <w:tab w:val="num" w:pos="360"/>
        </w:tabs>
        <w:spacing w:line="480" w:lineRule="auto"/>
        <w:ind w:left="360" w:firstLine="0"/>
        <w:jc w:val="both"/>
        <w:rPr>
          <w:rFonts w:ascii="Maiandra GD" w:hAnsi="Maiandra GD" w:cs="Times New Roman"/>
          <w:b/>
          <w:bCs/>
          <w:sz w:val="22"/>
          <w:szCs w:val="22"/>
        </w:rPr>
      </w:pPr>
      <w:r w:rsidRPr="00E656C2">
        <w:rPr>
          <w:rFonts w:ascii="Maiandra GD" w:hAnsi="Maiandra GD" w:cs="Times New Roman"/>
          <w:b/>
          <w:bCs/>
          <w:sz w:val="22"/>
          <w:szCs w:val="22"/>
        </w:rPr>
        <w:t>Background and Rationale</w:t>
      </w:r>
    </w:p>
    <w:p w14:paraId="027AD1EC"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As Kenya advances towards a more inclusive, skills-oriented, and lifelong learning-driven economy, the need for flexible, modular, and accessible learning pathways has become increasingly needful and urgent. Traditional qualification systems, while essential for standardisation and quality assurance, often remain rigid and insufficiently responsive to the diverse realities of learners, particularly youth, informal sector workers, women, and other vulnerable groups.</w:t>
      </w:r>
    </w:p>
    <w:p w14:paraId="3CD3EF9A"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Micro-credentials are emerging globally as a transformative mechanism for expanding access to learning and qualifications. They enable the recognition of smaller units of learning, support modular progression, and allow learners to acquire, accumulate, and transfer competencies in ways that are aligned with labour market needs. When effectively embedded within a National Qualifications Framework, micro-credentials can strengthen lifelong learning pathways, improve employability, and enhance system flexibility without compromising quality and trust.</w:t>
      </w:r>
    </w:p>
    <w:p w14:paraId="299BA883"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Within the Kenyan context, this discussion is particularly timely. The National Qualifications Conference places strong emphasis on Recognition of Prior Learning (RPL), Kenya Credit Accumulation and Transfer System (KCATS), micro-credentials, modularisation, and the UNESCO Qualifications Passport (UQP) as key instruments for expanding access and inclusion. However, questions remain on how these tools can be operationalised at scale, integrated into the KNQF, quality assured, and recognised by employers and institutions.</w:t>
      </w:r>
    </w:p>
    <w:p w14:paraId="539C7198"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This session therefore moves beyond conceptual discussions to focus on the practical and systemic implications of adopting micro-credentials as part of a broader strategy to build flexible, inclusive, and lifelong learning-oriented qualifications systems. It positions micro-credentials not as standalone innovations, but as part of a coherent qualifications ecosystem that supports access, progression, recognition, and employability.</w:t>
      </w:r>
    </w:p>
    <w:p w14:paraId="33BEC36A" w14:textId="77777777" w:rsidR="00DC4679" w:rsidRPr="00FB6A3B" w:rsidRDefault="00DC4679" w:rsidP="00DC4679">
      <w:pPr>
        <w:spacing w:after="200" w:line="360" w:lineRule="auto"/>
        <w:rPr>
          <w:rFonts w:ascii="Maiandra GD" w:hAnsi="Maiandra GD" w:cs="Tahoma"/>
          <w:color w:val="000000" w:themeColor="text1"/>
          <w:sz w:val="22"/>
        </w:rPr>
      </w:pPr>
      <w:r w:rsidRPr="00FB6A3B">
        <w:rPr>
          <w:rFonts w:ascii="Maiandra GD" w:hAnsi="Maiandra GD" w:cs="Tahoma"/>
          <w:color w:val="000000" w:themeColor="text1"/>
          <w:sz w:val="22"/>
        </w:rPr>
        <w:br w:type="page"/>
      </w:r>
    </w:p>
    <w:p w14:paraId="385B8244" w14:textId="77777777" w:rsidR="00DC4679" w:rsidRPr="00E656C2" w:rsidRDefault="00DC4679" w:rsidP="00DC4679">
      <w:pPr>
        <w:pStyle w:val="Heading1"/>
        <w:numPr>
          <w:ilvl w:val="0"/>
          <w:numId w:val="19"/>
        </w:numPr>
        <w:tabs>
          <w:tab w:val="num" w:pos="360"/>
        </w:tabs>
        <w:spacing w:line="480" w:lineRule="auto"/>
        <w:ind w:left="360" w:firstLine="0"/>
        <w:jc w:val="both"/>
        <w:rPr>
          <w:rFonts w:ascii="Maiandra GD" w:hAnsi="Maiandra GD" w:cs="Times New Roman"/>
          <w:b/>
          <w:bCs/>
          <w:sz w:val="22"/>
          <w:szCs w:val="22"/>
        </w:rPr>
      </w:pPr>
      <w:r w:rsidRPr="00E656C2">
        <w:rPr>
          <w:rFonts w:ascii="Maiandra GD" w:hAnsi="Maiandra GD" w:cs="Times New Roman"/>
          <w:b/>
          <w:bCs/>
          <w:sz w:val="22"/>
          <w:szCs w:val="22"/>
        </w:rPr>
        <w:lastRenderedPageBreak/>
        <w:t>Session Objective</w:t>
      </w:r>
    </w:p>
    <w:p w14:paraId="29A12C7E"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To examine how micro-credentials can be effectively integrated within the National Qualifications Framework to expand access, strengthen inclusion, and build flexible and lifelong learning pathways, while ensuring quality, recognition, and labour market relevance.</w:t>
      </w:r>
    </w:p>
    <w:p w14:paraId="2734A3AF" w14:textId="77777777" w:rsidR="00DC4679" w:rsidRPr="00FB6A3B" w:rsidRDefault="00DC4679" w:rsidP="00DC4679">
      <w:pPr>
        <w:spacing w:after="0" w:line="240" w:lineRule="auto"/>
        <w:jc w:val="both"/>
        <w:rPr>
          <w:rFonts w:ascii="Maiandra GD" w:hAnsi="Maiandra GD" w:cs="Tahoma"/>
          <w:color w:val="000000" w:themeColor="text1"/>
          <w:sz w:val="22"/>
        </w:rPr>
      </w:pPr>
    </w:p>
    <w:p w14:paraId="2978361C" w14:textId="77777777" w:rsidR="00DC4679" w:rsidRPr="00E656C2" w:rsidRDefault="00DC4679" w:rsidP="00DC4679">
      <w:pPr>
        <w:pStyle w:val="Heading1"/>
        <w:numPr>
          <w:ilvl w:val="0"/>
          <w:numId w:val="19"/>
        </w:numPr>
        <w:tabs>
          <w:tab w:val="num" w:pos="360"/>
        </w:tabs>
        <w:spacing w:line="480" w:lineRule="auto"/>
        <w:ind w:left="360" w:firstLine="0"/>
        <w:jc w:val="both"/>
        <w:rPr>
          <w:rFonts w:ascii="Maiandra GD" w:hAnsi="Maiandra GD" w:cs="Times New Roman"/>
          <w:b/>
          <w:bCs/>
          <w:sz w:val="22"/>
          <w:szCs w:val="22"/>
        </w:rPr>
      </w:pPr>
      <w:r w:rsidRPr="00E656C2">
        <w:rPr>
          <w:rFonts w:ascii="Maiandra GD" w:hAnsi="Maiandra GD" w:cs="Times New Roman"/>
          <w:b/>
          <w:bCs/>
          <w:sz w:val="22"/>
          <w:szCs w:val="22"/>
        </w:rPr>
        <w:t>Session Description</w:t>
      </w:r>
    </w:p>
    <w:p w14:paraId="03C0993B"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This panel will explore the role of micro-credentials as a strategic enabler of inclusive and flexible learning pathways within the qualification’s ecosystem. It will examine how micro-credentials can support modular learning, recognition of diverse forms of learning, and progression across education, training, and employment pathways.</w:t>
      </w:r>
    </w:p>
    <w:p w14:paraId="0EC323BC"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The discussion will focus on how micro-credentials can be aligned with existing instruments such as RPL, KCATS, and modularised curricula, ensuring that they contribute to a coherent, transparent, and trusted qualifications system. It will also address the practical requirements for quality assurance, standardisation, credit accumulation, and recognition of micro-credentials within and across sectors.</w:t>
      </w:r>
    </w:p>
    <w:p w14:paraId="6F3E98B8"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In addition, the panel will reflect on the role of employers, digital platforms, and data systems in driving the uptake and credibility of micro-credentials, as well as their potential to respond to emerging skills needs, labour market transitions, and continuous upskilling and reskilling.</w:t>
      </w:r>
    </w:p>
    <w:p w14:paraId="4F75B83D" w14:textId="77777777" w:rsidR="00DC4679" w:rsidRPr="00FB6A3B" w:rsidRDefault="00DC4679" w:rsidP="00DC4679">
      <w:pPr>
        <w:spacing w:line="360" w:lineRule="auto"/>
        <w:jc w:val="both"/>
        <w:rPr>
          <w:rFonts w:ascii="Maiandra GD" w:hAnsi="Maiandra GD" w:cs="Tahoma"/>
          <w:color w:val="000000" w:themeColor="text1"/>
          <w:sz w:val="22"/>
        </w:rPr>
      </w:pPr>
      <w:r w:rsidRPr="00FB6A3B">
        <w:rPr>
          <w:rFonts w:ascii="Maiandra GD" w:hAnsi="Maiandra GD" w:cs="Tahoma"/>
          <w:color w:val="000000" w:themeColor="text1"/>
          <w:sz w:val="22"/>
        </w:rPr>
        <w:t xml:space="preserve">Drawing from international, regional, and national experiences, the session will position micro-credentials as a key component of a future-ready qualifications system that is inclusive, flexible, responsive, and aligned with the realities of lifelong learning and work. </w:t>
      </w:r>
    </w:p>
    <w:p w14:paraId="7229DD7D" w14:textId="77777777" w:rsidR="00DC4679" w:rsidRPr="009978D7" w:rsidRDefault="00DC4679" w:rsidP="00DC4679">
      <w:pPr>
        <w:pStyle w:val="Heading1"/>
        <w:numPr>
          <w:ilvl w:val="0"/>
          <w:numId w:val="19"/>
        </w:numPr>
        <w:tabs>
          <w:tab w:val="num" w:pos="360"/>
        </w:tabs>
        <w:spacing w:line="480" w:lineRule="auto"/>
        <w:ind w:left="360" w:firstLine="0"/>
        <w:jc w:val="both"/>
        <w:rPr>
          <w:rFonts w:ascii="Maiandra GD" w:hAnsi="Maiandra GD" w:cs="Times New Roman"/>
          <w:b/>
          <w:bCs/>
          <w:sz w:val="22"/>
          <w:szCs w:val="22"/>
        </w:rPr>
      </w:pPr>
      <w:r w:rsidRPr="009978D7">
        <w:rPr>
          <w:rFonts w:ascii="Maiandra GD" w:hAnsi="Maiandra GD" w:cs="Times New Roman"/>
          <w:b/>
          <w:bCs/>
          <w:sz w:val="22"/>
          <w:szCs w:val="22"/>
        </w:rPr>
        <w:t>Expected Session Outcomes</w:t>
      </w:r>
    </w:p>
    <w:p w14:paraId="4B2302BD" w14:textId="77777777" w:rsidR="00DC4679" w:rsidRPr="00FB6A3B" w:rsidRDefault="00DC4679" w:rsidP="00DC4679">
      <w:pPr>
        <w:spacing w:line="360" w:lineRule="auto"/>
        <w:jc w:val="both"/>
        <w:rPr>
          <w:rFonts w:ascii="Maiandra GD" w:hAnsi="Maiandra GD"/>
          <w:color w:val="000000" w:themeColor="text1"/>
          <w:sz w:val="22"/>
        </w:rPr>
      </w:pPr>
      <w:r w:rsidRPr="00FB6A3B">
        <w:rPr>
          <w:rFonts w:ascii="Maiandra GD" w:hAnsi="Maiandra GD"/>
          <w:color w:val="000000" w:themeColor="text1"/>
          <w:sz w:val="22"/>
        </w:rPr>
        <w:t>The session is expected to generate:</w:t>
      </w:r>
    </w:p>
    <w:p w14:paraId="192CF018" w14:textId="77777777" w:rsidR="00DC4679" w:rsidRPr="00FB6A3B" w:rsidRDefault="00DC4679" w:rsidP="00DC4679">
      <w:pPr>
        <w:pStyle w:val="ListParagraph"/>
        <w:numPr>
          <w:ilvl w:val="0"/>
          <w:numId w:val="4"/>
        </w:numPr>
        <w:spacing w:after="80" w:line="360" w:lineRule="auto"/>
        <w:jc w:val="both"/>
        <w:rPr>
          <w:rFonts w:ascii="Maiandra GD" w:hAnsi="Maiandra GD"/>
          <w:color w:val="000000" w:themeColor="text1"/>
          <w:sz w:val="22"/>
        </w:rPr>
      </w:pPr>
      <w:r w:rsidRPr="00FB6A3B">
        <w:rPr>
          <w:rFonts w:ascii="Maiandra GD" w:hAnsi="Maiandra GD"/>
          <w:color w:val="000000" w:themeColor="text1"/>
          <w:sz w:val="22"/>
        </w:rPr>
        <w:t xml:space="preserve">Clarity on the role of micro-credentials in expanding access to qualifications and lifelong learning opportunities. </w:t>
      </w:r>
    </w:p>
    <w:p w14:paraId="6C037D9E" w14:textId="77777777" w:rsidR="00DC4679" w:rsidRPr="00FB6A3B" w:rsidRDefault="00DC4679" w:rsidP="00DC4679">
      <w:pPr>
        <w:pStyle w:val="ListParagraph"/>
        <w:numPr>
          <w:ilvl w:val="0"/>
          <w:numId w:val="4"/>
        </w:numPr>
        <w:spacing w:after="80" w:line="360" w:lineRule="auto"/>
        <w:jc w:val="both"/>
        <w:rPr>
          <w:rFonts w:ascii="Maiandra GD" w:hAnsi="Maiandra GD"/>
          <w:color w:val="000000" w:themeColor="text1"/>
          <w:sz w:val="22"/>
        </w:rPr>
      </w:pPr>
      <w:r w:rsidRPr="00FB6A3B">
        <w:rPr>
          <w:rFonts w:ascii="Maiandra GD" w:hAnsi="Maiandra GD"/>
          <w:color w:val="000000" w:themeColor="text1"/>
          <w:sz w:val="22"/>
        </w:rPr>
        <w:t xml:space="preserve">Improved understanding of how micro-credentials can be integrated within the KNQF, including alignment with KCATS, RPL, and modular learning systems. </w:t>
      </w:r>
    </w:p>
    <w:p w14:paraId="5CF6F961" w14:textId="77777777" w:rsidR="00DC4679" w:rsidRPr="00FB6A3B" w:rsidRDefault="00DC4679" w:rsidP="00DC4679">
      <w:pPr>
        <w:pStyle w:val="ListParagraph"/>
        <w:numPr>
          <w:ilvl w:val="0"/>
          <w:numId w:val="4"/>
        </w:numPr>
        <w:spacing w:after="80" w:line="360" w:lineRule="auto"/>
        <w:jc w:val="both"/>
        <w:rPr>
          <w:rFonts w:ascii="Maiandra GD" w:hAnsi="Maiandra GD"/>
          <w:color w:val="000000" w:themeColor="text1"/>
          <w:sz w:val="22"/>
        </w:rPr>
      </w:pPr>
      <w:r w:rsidRPr="00FB6A3B">
        <w:rPr>
          <w:rFonts w:ascii="Maiandra GD" w:hAnsi="Maiandra GD"/>
          <w:color w:val="000000" w:themeColor="text1"/>
          <w:sz w:val="22"/>
        </w:rPr>
        <w:t xml:space="preserve">Identification of key policy, quality assurance, and institutional requirements for scaling micro-credentials in Kenya. </w:t>
      </w:r>
    </w:p>
    <w:p w14:paraId="09C9D622" w14:textId="77777777" w:rsidR="00DC4679" w:rsidRPr="00FB6A3B" w:rsidRDefault="00DC4679" w:rsidP="00DC4679">
      <w:pPr>
        <w:pStyle w:val="ListParagraph"/>
        <w:numPr>
          <w:ilvl w:val="0"/>
          <w:numId w:val="4"/>
        </w:numPr>
        <w:spacing w:after="80" w:line="360" w:lineRule="auto"/>
        <w:jc w:val="both"/>
        <w:rPr>
          <w:rFonts w:ascii="Maiandra GD" w:hAnsi="Maiandra GD"/>
          <w:color w:val="000000" w:themeColor="text1"/>
          <w:sz w:val="22"/>
        </w:rPr>
      </w:pPr>
      <w:r w:rsidRPr="00FB6A3B">
        <w:rPr>
          <w:rFonts w:ascii="Maiandra GD" w:hAnsi="Maiandra GD"/>
          <w:color w:val="000000" w:themeColor="text1"/>
          <w:sz w:val="22"/>
        </w:rPr>
        <w:t xml:space="preserve">Enhanced appreciation of the role of micro-credentials in improving employability, reskilling, and labour market responsiveness. </w:t>
      </w:r>
    </w:p>
    <w:p w14:paraId="1F288C4D" w14:textId="77777777" w:rsidR="00DC4679" w:rsidRPr="00FB6A3B" w:rsidRDefault="00DC4679" w:rsidP="00DC4679">
      <w:pPr>
        <w:pStyle w:val="ListParagraph"/>
        <w:numPr>
          <w:ilvl w:val="0"/>
          <w:numId w:val="4"/>
        </w:numPr>
        <w:spacing w:after="80" w:line="360" w:lineRule="auto"/>
        <w:jc w:val="both"/>
        <w:rPr>
          <w:rFonts w:ascii="Maiandra GD" w:hAnsi="Maiandra GD"/>
          <w:color w:val="000000" w:themeColor="text1"/>
          <w:sz w:val="22"/>
        </w:rPr>
      </w:pPr>
      <w:r w:rsidRPr="00FB6A3B">
        <w:rPr>
          <w:rFonts w:ascii="Maiandra GD" w:hAnsi="Maiandra GD"/>
          <w:color w:val="000000" w:themeColor="text1"/>
          <w:sz w:val="22"/>
        </w:rPr>
        <w:t>Actionable recommendations for stakeholders on implementing flexible and inclusive learning pathways within the qualifications system.</w:t>
      </w:r>
    </w:p>
    <w:p w14:paraId="719B376B" w14:textId="77777777" w:rsidR="00DC4679" w:rsidRPr="00F45407" w:rsidRDefault="00DC4679" w:rsidP="00DC4679">
      <w:pPr>
        <w:pStyle w:val="Heading1"/>
        <w:numPr>
          <w:ilvl w:val="0"/>
          <w:numId w:val="19"/>
        </w:numPr>
        <w:tabs>
          <w:tab w:val="num" w:pos="360"/>
        </w:tabs>
        <w:spacing w:after="0" w:line="480" w:lineRule="auto"/>
        <w:ind w:left="360" w:firstLine="0"/>
        <w:jc w:val="both"/>
        <w:rPr>
          <w:rFonts w:ascii="Maiandra GD" w:hAnsi="Maiandra GD" w:cs="Times New Roman"/>
          <w:b/>
          <w:bCs/>
          <w:sz w:val="22"/>
          <w:szCs w:val="22"/>
        </w:rPr>
      </w:pPr>
      <w:r w:rsidRPr="00F45407">
        <w:rPr>
          <w:rFonts w:ascii="Maiandra GD" w:hAnsi="Maiandra GD" w:cs="Times New Roman"/>
          <w:b/>
          <w:bCs/>
          <w:sz w:val="22"/>
          <w:szCs w:val="22"/>
        </w:rPr>
        <w:lastRenderedPageBreak/>
        <w:t>Proposed Session Structure</w:t>
      </w:r>
    </w:p>
    <w:tbl>
      <w:tblPr>
        <w:tblStyle w:val="TableGrid"/>
        <w:tblW w:w="10165" w:type="dxa"/>
        <w:jc w:val="center"/>
        <w:tblLook w:val="04A0" w:firstRow="1" w:lastRow="0" w:firstColumn="1" w:lastColumn="0" w:noHBand="0" w:noVBand="1"/>
      </w:tblPr>
      <w:tblGrid>
        <w:gridCol w:w="4943"/>
        <w:gridCol w:w="5222"/>
      </w:tblGrid>
      <w:tr w:rsidR="00DC4679" w:rsidRPr="00FB6A3B" w14:paraId="3F22A3B2" w14:textId="77777777" w:rsidTr="000F369C">
        <w:trPr>
          <w:jc w:val="center"/>
        </w:trPr>
        <w:tc>
          <w:tcPr>
            <w:tcW w:w="4943" w:type="dxa"/>
            <w:tcMar>
              <w:top w:w="80" w:type="dxa"/>
              <w:left w:w="120" w:type="dxa"/>
              <w:bottom w:w="80" w:type="dxa"/>
              <w:right w:w="120" w:type="dxa"/>
            </w:tcMar>
            <w:vAlign w:val="center"/>
          </w:tcPr>
          <w:p w14:paraId="6AA9EEB7" w14:textId="77777777" w:rsidR="00DC4679" w:rsidRPr="00FB6A3B" w:rsidRDefault="00DC4679" w:rsidP="000F369C">
            <w:pPr>
              <w:jc w:val="both"/>
              <w:rPr>
                <w:rFonts w:ascii="Maiandra GD" w:hAnsi="Maiandra GD" w:cs="Tahoma"/>
                <w:color w:val="000000" w:themeColor="text1"/>
              </w:rPr>
            </w:pPr>
            <w:r w:rsidRPr="00FB6A3B">
              <w:rPr>
                <w:rFonts w:ascii="Maiandra GD" w:hAnsi="Maiandra GD" w:cs="Tahoma"/>
                <w:color w:val="000000" w:themeColor="text1"/>
              </w:rPr>
              <w:t>Moderator framing</w:t>
            </w:r>
          </w:p>
        </w:tc>
        <w:tc>
          <w:tcPr>
            <w:tcW w:w="5222" w:type="dxa"/>
            <w:tcMar>
              <w:top w:w="80" w:type="dxa"/>
              <w:left w:w="120" w:type="dxa"/>
              <w:bottom w:w="80" w:type="dxa"/>
              <w:right w:w="120" w:type="dxa"/>
            </w:tcMar>
            <w:vAlign w:val="center"/>
          </w:tcPr>
          <w:p w14:paraId="1437E396" w14:textId="77777777" w:rsidR="00DC4679" w:rsidRPr="00B846B3" w:rsidRDefault="00DC4679" w:rsidP="000F369C">
            <w:pPr>
              <w:jc w:val="both"/>
              <w:rPr>
                <w:rFonts w:ascii="Maiandra GD" w:hAnsi="Maiandra GD" w:cs="Tahoma"/>
                <w:b/>
                <w:bCs/>
                <w:color w:val="000000" w:themeColor="text1"/>
              </w:rPr>
            </w:pPr>
            <w:r w:rsidRPr="00B846B3">
              <w:rPr>
                <w:rFonts w:ascii="Maiandra GD" w:hAnsi="Maiandra GD" w:cs="Tahoma"/>
                <w:b/>
                <w:bCs/>
                <w:color w:val="000000" w:themeColor="text1"/>
              </w:rPr>
              <w:t>5 minutes</w:t>
            </w:r>
          </w:p>
        </w:tc>
      </w:tr>
      <w:tr w:rsidR="007663D8" w:rsidRPr="00FB6A3B" w14:paraId="66C77920" w14:textId="77777777" w:rsidTr="000F369C">
        <w:trPr>
          <w:jc w:val="center"/>
        </w:trPr>
        <w:tc>
          <w:tcPr>
            <w:tcW w:w="4943" w:type="dxa"/>
            <w:tcMar>
              <w:top w:w="80" w:type="dxa"/>
              <w:left w:w="120" w:type="dxa"/>
              <w:bottom w:w="80" w:type="dxa"/>
              <w:right w:w="120" w:type="dxa"/>
            </w:tcMar>
            <w:vAlign w:val="center"/>
          </w:tcPr>
          <w:p w14:paraId="2246C9C6" w14:textId="1B0588AD" w:rsidR="007663D8" w:rsidRPr="00FB6A3B" w:rsidRDefault="008D6FB2" w:rsidP="000F369C">
            <w:pPr>
              <w:jc w:val="both"/>
              <w:rPr>
                <w:rFonts w:ascii="Maiandra GD" w:hAnsi="Maiandra GD" w:cs="Tahoma"/>
                <w:color w:val="000000" w:themeColor="text1"/>
              </w:rPr>
            </w:pPr>
            <w:r>
              <w:rPr>
                <w:rFonts w:ascii="Maiandra GD" w:hAnsi="Maiandra GD" w:cs="Tahoma"/>
                <w:color w:val="000000" w:themeColor="text1"/>
              </w:rPr>
              <w:t>Keynote</w:t>
            </w:r>
            <w:r w:rsidR="007663D8">
              <w:rPr>
                <w:rFonts w:ascii="Maiandra GD" w:hAnsi="Maiandra GD" w:cs="Tahoma"/>
                <w:color w:val="000000" w:themeColor="text1"/>
              </w:rPr>
              <w:t xml:space="preserve"> Presentations</w:t>
            </w:r>
            <w:r w:rsidR="009F56F5">
              <w:rPr>
                <w:rFonts w:ascii="Maiandra GD" w:hAnsi="Maiandra GD" w:cs="Tahoma"/>
                <w:color w:val="000000" w:themeColor="text1"/>
              </w:rPr>
              <w:t xml:space="preserve"> [2 Presenters]</w:t>
            </w:r>
          </w:p>
        </w:tc>
        <w:tc>
          <w:tcPr>
            <w:tcW w:w="5222" w:type="dxa"/>
            <w:tcMar>
              <w:top w:w="80" w:type="dxa"/>
              <w:left w:w="120" w:type="dxa"/>
              <w:bottom w:w="80" w:type="dxa"/>
              <w:right w:w="120" w:type="dxa"/>
            </w:tcMar>
            <w:vAlign w:val="center"/>
          </w:tcPr>
          <w:p w14:paraId="10B765C2" w14:textId="43DB869A" w:rsidR="007663D8" w:rsidRPr="00B846B3" w:rsidRDefault="007663D8" w:rsidP="000F369C">
            <w:pPr>
              <w:jc w:val="both"/>
              <w:rPr>
                <w:rFonts w:ascii="Maiandra GD" w:hAnsi="Maiandra GD" w:cs="Tahoma"/>
                <w:b/>
                <w:bCs/>
                <w:color w:val="000000" w:themeColor="text1"/>
              </w:rPr>
            </w:pPr>
            <w:r>
              <w:rPr>
                <w:rFonts w:ascii="Maiandra GD" w:hAnsi="Maiandra GD" w:cs="Tahoma"/>
                <w:b/>
                <w:bCs/>
                <w:color w:val="000000" w:themeColor="text1"/>
              </w:rPr>
              <w:t>16 Minutes</w:t>
            </w:r>
            <w:r w:rsidR="00EE6286">
              <w:rPr>
                <w:rFonts w:ascii="Maiandra GD" w:hAnsi="Maiandra GD" w:cs="Tahoma"/>
                <w:b/>
                <w:bCs/>
                <w:color w:val="000000" w:themeColor="text1"/>
              </w:rPr>
              <w:t xml:space="preserve"> [8 Minutes each]</w:t>
            </w:r>
          </w:p>
        </w:tc>
      </w:tr>
      <w:tr w:rsidR="00DC4679" w:rsidRPr="00FB6A3B" w14:paraId="0312E100" w14:textId="77777777" w:rsidTr="000F369C">
        <w:trPr>
          <w:jc w:val="center"/>
        </w:trPr>
        <w:tc>
          <w:tcPr>
            <w:tcW w:w="4943" w:type="dxa"/>
            <w:tcMar>
              <w:top w:w="80" w:type="dxa"/>
              <w:left w:w="120" w:type="dxa"/>
              <w:bottom w:w="80" w:type="dxa"/>
              <w:right w:w="120" w:type="dxa"/>
            </w:tcMar>
            <w:vAlign w:val="center"/>
          </w:tcPr>
          <w:p w14:paraId="2EEEB1F7" w14:textId="2C4FAE41" w:rsidR="00DC4679" w:rsidRPr="00FB6A3B" w:rsidRDefault="00DC4679" w:rsidP="000F369C">
            <w:pPr>
              <w:jc w:val="both"/>
              <w:rPr>
                <w:rFonts w:ascii="Maiandra GD" w:hAnsi="Maiandra GD" w:cs="Tahoma"/>
                <w:color w:val="000000" w:themeColor="text1"/>
              </w:rPr>
            </w:pPr>
            <w:r w:rsidRPr="00FB6A3B">
              <w:rPr>
                <w:rFonts w:ascii="Maiandra GD" w:hAnsi="Maiandra GD" w:cs="Tahoma"/>
                <w:color w:val="000000" w:themeColor="text1"/>
              </w:rPr>
              <w:t>Panelist interventions (</w:t>
            </w:r>
            <w:r w:rsidR="00EC30DA">
              <w:rPr>
                <w:rFonts w:ascii="Maiandra GD" w:hAnsi="Maiandra GD" w:cs="Tahoma"/>
                <w:color w:val="000000" w:themeColor="text1"/>
              </w:rPr>
              <w:t>3</w:t>
            </w:r>
            <w:r w:rsidRPr="00FB6A3B">
              <w:rPr>
                <w:rFonts w:ascii="Maiandra GD" w:hAnsi="Maiandra GD" w:cs="Tahoma"/>
                <w:color w:val="000000" w:themeColor="text1"/>
              </w:rPr>
              <w:t xml:space="preserve"> </w:t>
            </w:r>
            <w:r>
              <w:rPr>
                <w:rFonts w:ascii="Maiandra GD" w:hAnsi="Maiandra GD" w:cs="Tahoma"/>
                <w:color w:val="000000" w:themeColor="text1"/>
              </w:rPr>
              <w:t>Panelists</w:t>
            </w:r>
            <w:r w:rsidRPr="00FB6A3B">
              <w:rPr>
                <w:rFonts w:ascii="Maiandra GD" w:hAnsi="Maiandra GD" w:cs="Tahoma"/>
                <w:color w:val="000000" w:themeColor="text1"/>
              </w:rPr>
              <w:t>)</w:t>
            </w:r>
          </w:p>
        </w:tc>
        <w:tc>
          <w:tcPr>
            <w:tcW w:w="5222" w:type="dxa"/>
            <w:tcMar>
              <w:top w:w="80" w:type="dxa"/>
              <w:left w:w="120" w:type="dxa"/>
              <w:bottom w:w="80" w:type="dxa"/>
              <w:right w:w="120" w:type="dxa"/>
            </w:tcMar>
            <w:vAlign w:val="center"/>
          </w:tcPr>
          <w:p w14:paraId="162E2374" w14:textId="6657C34E" w:rsidR="00DC4679" w:rsidRPr="00B846B3" w:rsidRDefault="00EC30DA" w:rsidP="000F369C">
            <w:pPr>
              <w:jc w:val="both"/>
              <w:rPr>
                <w:rFonts w:ascii="Maiandra GD" w:hAnsi="Maiandra GD" w:cs="Tahoma"/>
                <w:b/>
                <w:bCs/>
                <w:color w:val="000000" w:themeColor="text1"/>
              </w:rPr>
            </w:pPr>
            <w:r>
              <w:rPr>
                <w:rFonts w:ascii="Maiandra GD" w:hAnsi="Maiandra GD" w:cs="Tahoma"/>
                <w:b/>
                <w:bCs/>
                <w:color w:val="000000" w:themeColor="text1"/>
              </w:rPr>
              <w:t>15</w:t>
            </w:r>
            <w:r w:rsidR="00DC4679" w:rsidRPr="00B846B3">
              <w:rPr>
                <w:rFonts w:ascii="Maiandra GD" w:hAnsi="Maiandra GD" w:cs="Tahoma"/>
                <w:b/>
                <w:bCs/>
                <w:color w:val="000000" w:themeColor="text1"/>
              </w:rPr>
              <w:t xml:space="preserve"> minutes</w:t>
            </w:r>
            <w:r w:rsidR="00CC0754">
              <w:rPr>
                <w:rFonts w:ascii="Maiandra GD" w:hAnsi="Maiandra GD" w:cs="Tahoma"/>
                <w:b/>
                <w:bCs/>
                <w:color w:val="000000" w:themeColor="text1"/>
              </w:rPr>
              <w:t xml:space="preserve"> [7 Minutes each]</w:t>
            </w:r>
          </w:p>
        </w:tc>
      </w:tr>
      <w:tr w:rsidR="00DC4679" w:rsidRPr="00FB6A3B" w14:paraId="24B5F8D6" w14:textId="77777777" w:rsidTr="000F369C">
        <w:trPr>
          <w:jc w:val="center"/>
        </w:trPr>
        <w:tc>
          <w:tcPr>
            <w:tcW w:w="4943" w:type="dxa"/>
            <w:tcMar>
              <w:top w:w="80" w:type="dxa"/>
              <w:left w:w="120" w:type="dxa"/>
              <w:bottom w:w="80" w:type="dxa"/>
              <w:right w:w="120" w:type="dxa"/>
            </w:tcMar>
            <w:vAlign w:val="center"/>
          </w:tcPr>
          <w:p w14:paraId="064E77E6" w14:textId="77777777" w:rsidR="00DC4679" w:rsidRPr="00FB6A3B" w:rsidRDefault="00DC4679" w:rsidP="000F369C">
            <w:pPr>
              <w:jc w:val="both"/>
              <w:rPr>
                <w:rFonts w:ascii="Maiandra GD" w:hAnsi="Maiandra GD" w:cs="Tahoma"/>
                <w:color w:val="000000" w:themeColor="text1"/>
              </w:rPr>
            </w:pPr>
            <w:r w:rsidRPr="00FB6A3B">
              <w:rPr>
                <w:rFonts w:ascii="Maiandra GD" w:hAnsi="Maiandra GD" w:cs="Tahoma"/>
                <w:color w:val="000000" w:themeColor="text1"/>
              </w:rPr>
              <w:t>Moderated discussion &amp; Audience Q &amp;A</w:t>
            </w:r>
          </w:p>
        </w:tc>
        <w:tc>
          <w:tcPr>
            <w:tcW w:w="5222" w:type="dxa"/>
            <w:tcMar>
              <w:top w:w="80" w:type="dxa"/>
              <w:left w:w="120" w:type="dxa"/>
              <w:bottom w:w="80" w:type="dxa"/>
              <w:right w:w="120" w:type="dxa"/>
            </w:tcMar>
            <w:vAlign w:val="center"/>
          </w:tcPr>
          <w:p w14:paraId="0B5A5D32" w14:textId="3DC2A5B4" w:rsidR="00DC4679" w:rsidRPr="00B846B3" w:rsidRDefault="008D3903" w:rsidP="000F369C">
            <w:pPr>
              <w:jc w:val="both"/>
              <w:rPr>
                <w:rFonts w:ascii="Maiandra GD" w:hAnsi="Maiandra GD" w:cs="Tahoma"/>
                <w:b/>
                <w:bCs/>
                <w:color w:val="000000" w:themeColor="text1"/>
              </w:rPr>
            </w:pPr>
            <w:r>
              <w:rPr>
                <w:rFonts w:ascii="Maiandra GD" w:hAnsi="Maiandra GD" w:cs="Tahoma"/>
                <w:b/>
                <w:bCs/>
                <w:color w:val="000000" w:themeColor="text1"/>
              </w:rPr>
              <w:t>1</w:t>
            </w:r>
            <w:r w:rsidR="00EC30DA">
              <w:rPr>
                <w:rFonts w:ascii="Maiandra GD" w:hAnsi="Maiandra GD" w:cs="Tahoma"/>
                <w:b/>
                <w:bCs/>
                <w:color w:val="000000" w:themeColor="text1"/>
              </w:rPr>
              <w:t>9</w:t>
            </w:r>
            <w:r w:rsidR="00DC4679" w:rsidRPr="00B846B3">
              <w:rPr>
                <w:rFonts w:ascii="Maiandra GD" w:hAnsi="Maiandra GD" w:cs="Tahoma"/>
                <w:b/>
                <w:bCs/>
                <w:color w:val="000000" w:themeColor="text1"/>
              </w:rPr>
              <w:t xml:space="preserve"> minutes</w:t>
            </w:r>
          </w:p>
        </w:tc>
      </w:tr>
      <w:tr w:rsidR="00DC4679" w:rsidRPr="00FB6A3B" w14:paraId="5F268DE5" w14:textId="77777777" w:rsidTr="000F369C">
        <w:trPr>
          <w:trHeight w:val="252"/>
          <w:jc w:val="center"/>
        </w:trPr>
        <w:tc>
          <w:tcPr>
            <w:tcW w:w="4943" w:type="dxa"/>
            <w:tcMar>
              <w:top w:w="80" w:type="dxa"/>
              <w:left w:w="120" w:type="dxa"/>
              <w:bottom w:w="80" w:type="dxa"/>
              <w:right w:w="120" w:type="dxa"/>
            </w:tcMar>
            <w:vAlign w:val="center"/>
          </w:tcPr>
          <w:p w14:paraId="7417DE5E" w14:textId="77777777" w:rsidR="00DC4679" w:rsidRPr="00FB6A3B" w:rsidRDefault="00DC4679" w:rsidP="000F369C">
            <w:pPr>
              <w:jc w:val="both"/>
              <w:rPr>
                <w:rFonts w:ascii="Maiandra GD" w:hAnsi="Maiandra GD" w:cs="Tahoma"/>
                <w:color w:val="000000" w:themeColor="text1"/>
              </w:rPr>
            </w:pPr>
            <w:r w:rsidRPr="00FB6A3B">
              <w:rPr>
                <w:rFonts w:ascii="Maiandra GD" w:hAnsi="Maiandra GD" w:cs="Tahoma"/>
                <w:color w:val="000000" w:themeColor="text1"/>
              </w:rPr>
              <w:t>Closing reflections</w:t>
            </w:r>
          </w:p>
        </w:tc>
        <w:tc>
          <w:tcPr>
            <w:tcW w:w="5222" w:type="dxa"/>
            <w:tcMar>
              <w:top w:w="80" w:type="dxa"/>
              <w:left w:w="120" w:type="dxa"/>
              <w:bottom w:w="80" w:type="dxa"/>
              <w:right w:w="120" w:type="dxa"/>
            </w:tcMar>
            <w:vAlign w:val="center"/>
          </w:tcPr>
          <w:p w14:paraId="52BAB109" w14:textId="77777777" w:rsidR="00DC4679" w:rsidRPr="00B846B3" w:rsidRDefault="00DC4679" w:rsidP="000F369C">
            <w:pPr>
              <w:jc w:val="both"/>
              <w:rPr>
                <w:rFonts w:ascii="Maiandra GD" w:hAnsi="Maiandra GD" w:cs="Tahoma"/>
                <w:b/>
                <w:bCs/>
                <w:color w:val="000000" w:themeColor="text1"/>
              </w:rPr>
            </w:pPr>
            <w:r w:rsidRPr="00B846B3">
              <w:rPr>
                <w:rFonts w:ascii="Maiandra GD" w:hAnsi="Maiandra GD" w:cs="Tahoma"/>
                <w:b/>
                <w:bCs/>
                <w:color w:val="000000" w:themeColor="text1"/>
              </w:rPr>
              <w:t>5 minutes</w:t>
            </w:r>
          </w:p>
        </w:tc>
      </w:tr>
      <w:tr w:rsidR="00DC4679" w:rsidRPr="00FB6A3B" w14:paraId="0BF14176" w14:textId="77777777" w:rsidTr="000F369C">
        <w:trPr>
          <w:jc w:val="center"/>
        </w:trPr>
        <w:tc>
          <w:tcPr>
            <w:tcW w:w="4943" w:type="dxa"/>
            <w:shd w:val="clear" w:color="auto" w:fill="EAF2F8"/>
            <w:tcMar>
              <w:top w:w="80" w:type="dxa"/>
              <w:left w:w="120" w:type="dxa"/>
              <w:bottom w:w="80" w:type="dxa"/>
              <w:right w:w="120" w:type="dxa"/>
            </w:tcMar>
            <w:vAlign w:val="center"/>
          </w:tcPr>
          <w:p w14:paraId="651E6C0C" w14:textId="77777777" w:rsidR="00DC4679" w:rsidRPr="00FB6A3B" w:rsidRDefault="00DC4679" w:rsidP="000F369C">
            <w:pPr>
              <w:jc w:val="both"/>
              <w:rPr>
                <w:rFonts w:ascii="Maiandra GD" w:hAnsi="Maiandra GD" w:cs="Tahoma"/>
                <w:color w:val="000000" w:themeColor="text1"/>
              </w:rPr>
            </w:pPr>
            <w:r w:rsidRPr="00FB6A3B">
              <w:rPr>
                <w:rFonts w:ascii="Maiandra GD" w:hAnsi="Maiandra GD" w:cs="Tahoma"/>
                <w:b/>
                <w:color w:val="000000" w:themeColor="text1"/>
              </w:rPr>
              <w:t>Total</w:t>
            </w:r>
          </w:p>
        </w:tc>
        <w:tc>
          <w:tcPr>
            <w:tcW w:w="5222" w:type="dxa"/>
            <w:shd w:val="clear" w:color="auto" w:fill="EAF2F8"/>
            <w:tcMar>
              <w:top w:w="80" w:type="dxa"/>
              <w:left w:w="120" w:type="dxa"/>
              <w:bottom w:w="80" w:type="dxa"/>
              <w:right w:w="120" w:type="dxa"/>
            </w:tcMar>
            <w:vAlign w:val="center"/>
          </w:tcPr>
          <w:p w14:paraId="5B23EABD" w14:textId="77777777" w:rsidR="00DC4679" w:rsidRPr="00FB6A3B" w:rsidRDefault="00DC4679" w:rsidP="000F369C">
            <w:pPr>
              <w:jc w:val="both"/>
              <w:rPr>
                <w:rFonts w:ascii="Maiandra GD" w:hAnsi="Maiandra GD" w:cs="Tahoma"/>
                <w:color w:val="000000" w:themeColor="text1"/>
              </w:rPr>
            </w:pPr>
            <w:r w:rsidRPr="00FB6A3B">
              <w:rPr>
                <w:rFonts w:ascii="Maiandra GD" w:hAnsi="Maiandra GD" w:cs="Tahoma"/>
                <w:b/>
                <w:color w:val="000000" w:themeColor="text1"/>
              </w:rPr>
              <w:t>60 minutes</w:t>
            </w:r>
          </w:p>
        </w:tc>
      </w:tr>
    </w:tbl>
    <w:p w14:paraId="729D35B5" w14:textId="77777777" w:rsidR="00DC4679" w:rsidRPr="00E656C2" w:rsidRDefault="00DC4679" w:rsidP="00DC4679">
      <w:pPr>
        <w:pStyle w:val="Heading1"/>
        <w:numPr>
          <w:ilvl w:val="0"/>
          <w:numId w:val="19"/>
        </w:numPr>
        <w:tabs>
          <w:tab w:val="num" w:pos="360"/>
        </w:tabs>
        <w:spacing w:line="360" w:lineRule="auto"/>
        <w:ind w:left="360" w:firstLine="0"/>
        <w:jc w:val="both"/>
        <w:rPr>
          <w:rFonts w:ascii="Maiandra GD" w:hAnsi="Maiandra GD" w:cs="Times New Roman"/>
          <w:b/>
          <w:bCs/>
          <w:sz w:val="22"/>
          <w:szCs w:val="22"/>
        </w:rPr>
      </w:pPr>
      <w:r w:rsidRPr="00E656C2">
        <w:rPr>
          <w:rFonts w:ascii="Maiandra GD" w:hAnsi="Maiandra GD" w:cs="Times New Roman"/>
          <w:b/>
          <w:bCs/>
          <w:sz w:val="22"/>
          <w:szCs w:val="22"/>
        </w:rPr>
        <w:t>Recommended Panel Composition</w:t>
      </w:r>
    </w:p>
    <w:tbl>
      <w:tblPr>
        <w:tblStyle w:val="TableGrid"/>
        <w:tblW w:w="10170" w:type="dxa"/>
        <w:tblInd w:w="-95" w:type="dxa"/>
        <w:tblLook w:val="04A0" w:firstRow="1" w:lastRow="0" w:firstColumn="1" w:lastColumn="0" w:noHBand="0" w:noVBand="1"/>
      </w:tblPr>
      <w:tblGrid>
        <w:gridCol w:w="2430"/>
        <w:gridCol w:w="2610"/>
        <w:gridCol w:w="5130"/>
      </w:tblGrid>
      <w:tr w:rsidR="00DC4679" w:rsidRPr="00FB6A3B" w14:paraId="0670E3B8" w14:textId="77777777" w:rsidTr="000F369C">
        <w:trPr>
          <w:tblHeader/>
        </w:trPr>
        <w:tc>
          <w:tcPr>
            <w:tcW w:w="2430" w:type="dxa"/>
            <w:vAlign w:val="center"/>
          </w:tcPr>
          <w:p w14:paraId="14226767"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Participant</w:t>
            </w:r>
          </w:p>
        </w:tc>
        <w:tc>
          <w:tcPr>
            <w:tcW w:w="2610" w:type="dxa"/>
            <w:vAlign w:val="center"/>
          </w:tcPr>
          <w:p w14:paraId="06E59DA2"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Area of Discussion</w:t>
            </w:r>
          </w:p>
        </w:tc>
        <w:tc>
          <w:tcPr>
            <w:tcW w:w="5130" w:type="dxa"/>
            <w:vAlign w:val="center"/>
          </w:tcPr>
          <w:p w14:paraId="31DD00B5"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How the Discussion Relates to the Session</w:t>
            </w:r>
          </w:p>
        </w:tc>
      </w:tr>
      <w:tr w:rsidR="00DC4679" w:rsidRPr="00FB6A3B" w14:paraId="0686940C" w14:textId="77777777" w:rsidTr="000F369C">
        <w:tc>
          <w:tcPr>
            <w:tcW w:w="2430" w:type="dxa"/>
            <w:vAlign w:val="center"/>
          </w:tcPr>
          <w:p w14:paraId="33DCB3A8" w14:textId="062B1C9B" w:rsidR="00DC4679" w:rsidRPr="00FB6A3B" w:rsidRDefault="00CC0754" w:rsidP="000F369C">
            <w:pPr>
              <w:spacing w:line="360" w:lineRule="auto"/>
              <w:jc w:val="both"/>
              <w:rPr>
                <w:rFonts w:ascii="Maiandra GD" w:hAnsi="Maiandra GD"/>
                <w:color w:val="000000" w:themeColor="text1"/>
              </w:rPr>
            </w:pPr>
            <w:r>
              <w:rPr>
                <w:rFonts w:ascii="Maiandra GD" w:eastAsia="Times New Roman" w:hAnsi="Maiandra GD" w:cs="Times New Roman"/>
                <w:b/>
                <w:bCs/>
                <w:color w:val="000000" w:themeColor="text1"/>
              </w:rPr>
              <w:t xml:space="preserve">Lead </w:t>
            </w:r>
            <w:r w:rsidR="00DC4679" w:rsidRPr="00FB6A3B">
              <w:rPr>
                <w:rFonts w:ascii="Maiandra GD" w:eastAsia="Times New Roman" w:hAnsi="Maiandra GD" w:cs="Times New Roman"/>
                <w:b/>
                <w:bCs/>
                <w:color w:val="000000" w:themeColor="text1"/>
              </w:rPr>
              <w:t xml:space="preserve">Presenter 1: Albert Okal </w:t>
            </w:r>
            <w:r w:rsidR="00DC4679">
              <w:rPr>
                <w:rFonts w:ascii="Maiandra GD" w:eastAsia="Times New Roman" w:hAnsi="Maiandra GD" w:cs="Times New Roman"/>
                <w:b/>
                <w:bCs/>
                <w:color w:val="000000" w:themeColor="text1"/>
              </w:rPr>
              <w:t xml:space="preserve">– </w:t>
            </w:r>
            <w:r w:rsidR="00DC4679" w:rsidRPr="00FB6A3B">
              <w:rPr>
                <w:rFonts w:ascii="Maiandra GD" w:eastAsia="Times New Roman" w:hAnsi="Maiandra GD" w:cs="Times New Roman"/>
                <w:b/>
                <w:bCs/>
                <w:color w:val="000000" w:themeColor="text1"/>
              </w:rPr>
              <w:t>Skills</w:t>
            </w:r>
            <w:r w:rsidR="00DC4679">
              <w:rPr>
                <w:rFonts w:ascii="Maiandra GD" w:eastAsia="Times New Roman" w:hAnsi="Maiandra GD" w:cs="Times New Roman"/>
                <w:b/>
                <w:bCs/>
                <w:color w:val="000000" w:themeColor="text1"/>
              </w:rPr>
              <w:t xml:space="preserve"> </w:t>
            </w:r>
            <w:r w:rsidR="00DC4679" w:rsidRPr="00FB6A3B">
              <w:rPr>
                <w:rFonts w:ascii="Maiandra GD" w:eastAsia="Times New Roman" w:hAnsi="Maiandra GD" w:cs="Times New Roman"/>
                <w:b/>
                <w:bCs/>
                <w:color w:val="000000" w:themeColor="text1"/>
              </w:rPr>
              <w:t>&amp; Lifelong Learning Specialist (ILO)</w:t>
            </w:r>
          </w:p>
        </w:tc>
        <w:tc>
          <w:tcPr>
            <w:tcW w:w="2610" w:type="dxa"/>
            <w:vAlign w:val="center"/>
          </w:tcPr>
          <w:p w14:paraId="34E4F525"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Global and strategic perspective on micro-credentials and lifelong learning</w:t>
            </w:r>
          </w:p>
        </w:tc>
        <w:tc>
          <w:tcPr>
            <w:tcW w:w="5130" w:type="dxa"/>
            <w:vAlign w:val="center"/>
          </w:tcPr>
          <w:p w14:paraId="4E9D605C"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color w:val="000000" w:themeColor="text1"/>
              </w:rPr>
              <w:t>To frame the discussion by positioning micro-credentials within global trends in skills development, lifelong learning, and labour market transitions, while highlighting their relevance for inclusive growth and decent work.</w:t>
            </w:r>
          </w:p>
        </w:tc>
      </w:tr>
      <w:tr w:rsidR="00DC4679" w:rsidRPr="00FB6A3B" w14:paraId="3194C000" w14:textId="77777777" w:rsidTr="000F369C">
        <w:trPr>
          <w:trHeight w:val="2079"/>
        </w:trPr>
        <w:tc>
          <w:tcPr>
            <w:tcW w:w="2430" w:type="dxa"/>
            <w:vAlign w:val="center"/>
          </w:tcPr>
          <w:p w14:paraId="23BEE4FB" w14:textId="25C4BFD6" w:rsidR="004600CE" w:rsidRPr="004600CE" w:rsidRDefault="00CC0754" w:rsidP="004600CE">
            <w:pPr>
              <w:spacing w:line="360" w:lineRule="auto"/>
              <w:jc w:val="both"/>
              <w:rPr>
                <w:rFonts w:ascii="Maiandra GD" w:eastAsia="Times New Roman" w:hAnsi="Maiandra GD" w:cs="Times New Roman"/>
                <w:b/>
                <w:bCs/>
                <w:color w:val="000000" w:themeColor="text1"/>
              </w:rPr>
            </w:pPr>
            <w:r>
              <w:rPr>
                <w:rFonts w:ascii="Maiandra GD" w:eastAsia="Times New Roman" w:hAnsi="Maiandra GD" w:cs="Times New Roman"/>
                <w:b/>
                <w:bCs/>
                <w:color w:val="000000" w:themeColor="text1"/>
              </w:rPr>
              <w:t xml:space="preserve">Lead </w:t>
            </w:r>
            <w:r w:rsidR="00D24E28">
              <w:rPr>
                <w:rFonts w:ascii="Maiandra GD" w:eastAsia="Times New Roman" w:hAnsi="Maiandra GD" w:cs="Times New Roman"/>
                <w:b/>
                <w:bCs/>
                <w:color w:val="000000" w:themeColor="text1"/>
              </w:rPr>
              <w:t>Presenter 2</w:t>
            </w:r>
            <w:r w:rsidR="00DC4679" w:rsidRPr="00FB6A3B">
              <w:rPr>
                <w:rFonts w:ascii="Maiandra GD" w:eastAsia="Times New Roman" w:hAnsi="Maiandra GD" w:cs="Times New Roman"/>
                <w:b/>
                <w:bCs/>
                <w:color w:val="000000" w:themeColor="text1"/>
              </w:rPr>
              <w:t>: Winnie Karanu</w:t>
            </w:r>
            <w:r w:rsidR="00C7323D">
              <w:rPr>
                <w:rFonts w:ascii="Maiandra GD" w:eastAsia="Times New Roman" w:hAnsi="Maiandra GD" w:cs="Times New Roman"/>
                <w:b/>
                <w:bCs/>
                <w:color w:val="000000" w:themeColor="text1"/>
              </w:rPr>
              <w:t xml:space="preserve"> </w:t>
            </w:r>
            <w:r w:rsidR="006C02D5">
              <w:rPr>
                <w:rFonts w:ascii="Maiandra GD" w:eastAsia="Times New Roman" w:hAnsi="Maiandra GD" w:cs="Times New Roman"/>
                <w:b/>
                <w:bCs/>
                <w:color w:val="000000" w:themeColor="text1"/>
              </w:rPr>
              <w:t xml:space="preserve">- </w:t>
            </w:r>
            <w:r w:rsidR="006C02D5" w:rsidRPr="006C02D5">
              <w:rPr>
                <w:rFonts w:ascii="Maiandra GD" w:eastAsia="Times New Roman" w:hAnsi="Maiandra GD" w:cs="Times New Roman"/>
                <w:b/>
                <w:bCs/>
                <w:color w:val="000000" w:themeColor="text1"/>
              </w:rPr>
              <w:t>AI Skills Director</w:t>
            </w:r>
            <w:r w:rsidR="006C02D5">
              <w:rPr>
                <w:rFonts w:ascii="Maiandra GD" w:eastAsia="Times New Roman" w:hAnsi="Maiandra GD" w:cs="Times New Roman"/>
                <w:b/>
                <w:bCs/>
                <w:color w:val="000000" w:themeColor="text1"/>
              </w:rPr>
              <w:t xml:space="preserve"> (Microsoft) - </w:t>
            </w:r>
            <w:r w:rsidR="004600CE" w:rsidRPr="004600CE">
              <w:rPr>
                <w:rFonts w:ascii="Maiandra GD" w:eastAsia="Times New Roman" w:hAnsi="Maiandra GD" w:cs="Times New Roman"/>
                <w:b/>
                <w:bCs/>
                <w:color w:val="000000" w:themeColor="text1"/>
              </w:rPr>
              <w:t>Shaping Kenya’s Foundational Digital and AI</w:t>
            </w:r>
          </w:p>
          <w:p w14:paraId="73EA560A" w14:textId="1909B519" w:rsidR="00DC4679" w:rsidRPr="00FB6A3B" w:rsidRDefault="004600CE" w:rsidP="004600CE">
            <w:pPr>
              <w:spacing w:line="360" w:lineRule="auto"/>
              <w:jc w:val="both"/>
              <w:rPr>
                <w:rFonts w:ascii="Maiandra GD" w:eastAsia="Times New Roman" w:hAnsi="Maiandra GD" w:cs="Times New Roman"/>
                <w:b/>
                <w:bCs/>
                <w:color w:val="000000" w:themeColor="text1"/>
              </w:rPr>
            </w:pPr>
            <w:r w:rsidRPr="004600CE">
              <w:rPr>
                <w:rFonts w:ascii="Maiandra GD" w:eastAsia="Times New Roman" w:hAnsi="Maiandra GD" w:cs="Times New Roman"/>
                <w:b/>
                <w:bCs/>
                <w:color w:val="000000" w:themeColor="text1"/>
              </w:rPr>
              <w:t>Literacy Micro-Credential</w:t>
            </w:r>
          </w:p>
        </w:tc>
        <w:tc>
          <w:tcPr>
            <w:tcW w:w="2610" w:type="dxa"/>
            <w:vAlign w:val="center"/>
          </w:tcPr>
          <w:p w14:paraId="7FF3BAFC" w14:textId="77777777" w:rsidR="00DC4679" w:rsidRPr="00FB6A3B" w:rsidRDefault="00DC4679" w:rsidP="000F369C">
            <w:pPr>
              <w:spacing w:line="360" w:lineRule="auto"/>
              <w:jc w:val="both"/>
              <w:rPr>
                <w:rFonts w:ascii="Maiandra GD" w:hAnsi="Maiandra GD"/>
                <w:b/>
                <w:bCs/>
                <w:color w:val="000000" w:themeColor="text1"/>
              </w:rPr>
            </w:pPr>
            <w:r w:rsidRPr="00FB6A3B">
              <w:rPr>
                <w:rFonts w:ascii="Maiandra GD" w:hAnsi="Maiandra GD"/>
                <w:b/>
                <w:bCs/>
                <w:color w:val="000000" w:themeColor="text1"/>
              </w:rPr>
              <w:t>Digital and AI Microcredentials</w:t>
            </w:r>
          </w:p>
        </w:tc>
        <w:tc>
          <w:tcPr>
            <w:tcW w:w="5130" w:type="dxa"/>
            <w:vAlign w:val="center"/>
          </w:tcPr>
          <w:p w14:paraId="44595167"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color w:val="000000" w:themeColor="text1"/>
              </w:rPr>
              <w:t>Explore how Kenya can design and implement a foundational Digital/AI Literacy micro-credential that is quality-assured, stackable, inclusive, and aligned with global frameworks such as the UNESCO AI Competency Framework and the OECD/TeachAI AI Literacy Framework.</w:t>
            </w:r>
          </w:p>
        </w:tc>
      </w:tr>
      <w:tr w:rsidR="00DC4679" w:rsidRPr="00FB6A3B" w14:paraId="66FF068C" w14:textId="77777777" w:rsidTr="000F369C">
        <w:tc>
          <w:tcPr>
            <w:tcW w:w="2430" w:type="dxa"/>
            <w:vAlign w:val="center"/>
          </w:tcPr>
          <w:p w14:paraId="329682D6" w14:textId="64346ED2" w:rsidR="00DC4679" w:rsidRPr="00FB6A3B" w:rsidRDefault="00DC4679" w:rsidP="000F369C">
            <w:pPr>
              <w:spacing w:line="360" w:lineRule="auto"/>
              <w:jc w:val="both"/>
              <w:rPr>
                <w:rFonts w:ascii="Maiandra GD" w:hAnsi="Maiandra GD"/>
                <w:color w:val="000000" w:themeColor="text1"/>
              </w:rPr>
            </w:pPr>
            <w:r w:rsidRPr="00FB6A3B">
              <w:rPr>
                <w:rFonts w:ascii="Maiandra GD" w:eastAsia="Times New Roman" w:hAnsi="Maiandra GD" w:cs="Times New Roman"/>
                <w:b/>
                <w:bCs/>
                <w:color w:val="000000" w:themeColor="text1"/>
              </w:rPr>
              <w:t>Panelist</w:t>
            </w:r>
            <w:r w:rsidR="00797C09">
              <w:rPr>
                <w:rFonts w:ascii="Maiandra GD" w:eastAsia="Times New Roman" w:hAnsi="Maiandra GD" w:cs="Times New Roman"/>
                <w:b/>
                <w:bCs/>
                <w:color w:val="000000" w:themeColor="text1"/>
              </w:rPr>
              <w:t xml:space="preserve"> </w:t>
            </w:r>
            <w:r w:rsidR="00EC30DA">
              <w:rPr>
                <w:rFonts w:ascii="Maiandra GD" w:eastAsia="Times New Roman" w:hAnsi="Maiandra GD" w:cs="Times New Roman"/>
                <w:b/>
                <w:bCs/>
                <w:color w:val="000000" w:themeColor="text1"/>
              </w:rPr>
              <w:t>1</w:t>
            </w:r>
            <w:r w:rsidRPr="00FB6A3B">
              <w:rPr>
                <w:rFonts w:ascii="Maiandra GD" w:eastAsia="Times New Roman" w:hAnsi="Maiandra GD" w:cs="Times New Roman"/>
                <w:b/>
                <w:bCs/>
                <w:color w:val="000000" w:themeColor="text1"/>
              </w:rPr>
              <w:t xml:space="preserve">: Eduarda Castel Branco </w:t>
            </w:r>
            <w:r>
              <w:rPr>
                <w:rFonts w:ascii="Maiandra GD" w:eastAsia="Times New Roman" w:hAnsi="Maiandra GD" w:cs="Times New Roman"/>
                <w:b/>
                <w:bCs/>
                <w:color w:val="000000" w:themeColor="text1"/>
              </w:rPr>
              <w:t xml:space="preserve">– </w:t>
            </w:r>
            <w:r w:rsidRPr="00FB6A3B">
              <w:rPr>
                <w:rFonts w:ascii="Maiandra GD" w:eastAsia="Times New Roman" w:hAnsi="Maiandra GD" w:cs="Times New Roman"/>
                <w:b/>
                <w:bCs/>
                <w:color w:val="000000" w:themeColor="text1"/>
              </w:rPr>
              <w:t>Expert</w:t>
            </w:r>
            <w:r>
              <w:rPr>
                <w:rFonts w:ascii="Maiandra GD" w:eastAsia="Times New Roman" w:hAnsi="Maiandra GD" w:cs="Times New Roman"/>
                <w:b/>
                <w:bCs/>
                <w:color w:val="000000" w:themeColor="text1"/>
              </w:rPr>
              <w:t xml:space="preserve"> </w:t>
            </w:r>
            <w:r w:rsidRPr="00FB6A3B">
              <w:rPr>
                <w:rFonts w:ascii="Maiandra GD" w:eastAsia="Times New Roman" w:hAnsi="Maiandra GD" w:cs="Times New Roman"/>
                <w:b/>
                <w:bCs/>
                <w:color w:val="000000" w:themeColor="text1"/>
              </w:rPr>
              <w:t>in Lifelong Learning &amp; Qualifications Systems</w:t>
            </w:r>
          </w:p>
        </w:tc>
        <w:tc>
          <w:tcPr>
            <w:tcW w:w="2610" w:type="dxa"/>
            <w:vAlign w:val="center"/>
          </w:tcPr>
          <w:p w14:paraId="5326267B"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Policy and system integration perspective</w:t>
            </w:r>
          </w:p>
        </w:tc>
        <w:tc>
          <w:tcPr>
            <w:tcW w:w="5130" w:type="dxa"/>
            <w:vAlign w:val="center"/>
          </w:tcPr>
          <w:p w14:paraId="799F153F"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color w:val="000000" w:themeColor="text1"/>
              </w:rPr>
              <w:t>To discuss how micro-credentials can be embedded within national qualifications frameworks, including issues of credit systems, standardisation, portability, and international comparability.</w:t>
            </w:r>
          </w:p>
        </w:tc>
      </w:tr>
      <w:tr w:rsidR="00DC4679" w:rsidRPr="00FB6A3B" w14:paraId="21E4FD06" w14:textId="77777777" w:rsidTr="000F369C">
        <w:tc>
          <w:tcPr>
            <w:tcW w:w="2430" w:type="dxa"/>
            <w:vAlign w:val="center"/>
          </w:tcPr>
          <w:p w14:paraId="24873014" w14:textId="0527AF9A" w:rsidR="00DC4679" w:rsidRPr="00FB6A3B" w:rsidRDefault="00DC4679" w:rsidP="000F369C">
            <w:pPr>
              <w:spacing w:line="360" w:lineRule="auto"/>
              <w:jc w:val="both"/>
              <w:rPr>
                <w:rFonts w:ascii="Maiandra GD" w:hAnsi="Maiandra GD"/>
                <w:color w:val="000000" w:themeColor="text1"/>
              </w:rPr>
            </w:pPr>
            <w:r w:rsidRPr="00FB6A3B">
              <w:rPr>
                <w:rFonts w:ascii="Maiandra GD" w:eastAsia="Times New Roman" w:hAnsi="Maiandra GD" w:cs="Times New Roman"/>
                <w:b/>
                <w:bCs/>
                <w:color w:val="000000" w:themeColor="text1"/>
              </w:rPr>
              <w:t>Panelist</w:t>
            </w:r>
            <w:r w:rsidR="00797C09">
              <w:rPr>
                <w:rFonts w:ascii="Maiandra GD" w:eastAsia="Times New Roman" w:hAnsi="Maiandra GD" w:cs="Times New Roman"/>
                <w:b/>
                <w:bCs/>
                <w:color w:val="000000" w:themeColor="text1"/>
              </w:rPr>
              <w:t xml:space="preserve"> </w:t>
            </w:r>
            <w:r w:rsidR="00EC30DA">
              <w:rPr>
                <w:rFonts w:ascii="Maiandra GD" w:eastAsia="Times New Roman" w:hAnsi="Maiandra GD" w:cs="Times New Roman"/>
                <w:b/>
                <w:bCs/>
                <w:color w:val="000000" w:themeColor="text1"/>
              </w:rPr>
              <w:t>2</w:t>
            </w:r>
            <w:r w:rsidRPr="00FB6A3B">
              <w:rPr>
                <w:rFonts w:ascii="Maiandra GD" w:eastAsia="Times New Roman" w:hAnsi="Maiandra GD" w:cs="Times New Roman"/>
                <w:b/>
                <w:bCs/>
                <w:color w:val="000000" w:themeColor="text1"/>
              </w:rPr>
              <w:t>: Dr. Purity Ngina (CEO, National Gender Equality Commission (NGEC)</w:t>
            </w:r>
          </w:p>
        </w:tc>
        <w:tc>
          <w:tcPr>
            <w:tcW w:w="2610" w:type="dxa"/>
            <w:vAlign w:val="center"/>
          </w:tcPr>
          <w:p w14:paraId="714C279C"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Inclusion, equity, and access perspective</w:t>
            </w:r>
          </w:p>
        </w:tc>
        <w:tc>
          <w:tcPr>
            <w:tcW w:w="5130" w:type="dxa"/>
            <w:vAlign w:val="center"/>
          </w:tcPr>
          <w:p w14:paraId="11987C4B"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eastAsia="Times New Roman" w:hAnsi="Maiandra GD" w:cs="Times New Roman"/>
                <w:color w:val="000000" w:themeColor="text1"/>
              </w:rPr>
              <w:t>To highlight how micro-credentials can expand opportunities for women, youth, and marginalised groups, and address barriers to participation in education and training systems</w:t>
            </w:r>
            <w:r w:rsidRPr="00FB6A3B">
              <w:rPr>
                <w:rFonts w:ascii="Maiandra GD" w:hAnsi="Maiandra GD"/>
                <w:color w:val="000000" w:themeColor="text1"/>
              </w:rPr>
              <w:t>.</w:t>
            </w:r>
          </w:p>
        </w:tc>
      </w:tr>
      <w:tr w:rsidR="003D5577" w:rsidRPr="00FB6A3B" w14:paraId="5C9EAB82" w14:textId="77777777" w:rsidTr="000F369C">
        <w:tc>
          <w:tcPr>
            <w:tcW w:w="2430" w:type="dxa"/>
            <w:vAlign w:val="center"/>
          </w:tcPr>
          <w:p w14:paraId="05D239CA" w14:textId="2E27683F" w:rsidR="003D5577" w:rsidRPr="00A9414D" w:rsidRDefault="003D5577" w:rsidP="000F369C">
            <w:pPr>
              <w:spacing w:line="360" w:lineRule="auto"/>
              <w:jc w:val="both"/>
              <w:rPr>
                <w:rFonts w:ascii="Maiandra GD" w:eastAsia="Times New Roman" w:hAnsi="Maiandra GD" w:cs="Times New Roman"/>
                <w:b/>
                <w:bCs/>
                <w:color w:val="000000" w:themeColor="text1"/>
              </w:rPr>
            </w:pPr>
            <w:r w:rsidRPr="00A9414D">
              <w:rPr>
                <w:rFonts w:ascii="Maiandra GD" w:eastAsia="Times New Roman" w:hAnsi="Maiandra GD" w:cs="Times New Roman"/>
                <w:b/>
                <w:bCs/>
                <w:color w:val="000000" w:themeColor="text1"/>
              </w:rPr>
              <w:t>Panelist</w:t>
            </w:r>
            <w:r>
              <w:rPr>
                <w:rFonts w:ascii="Maiandra GD" w:eastAsia="Times New Roman" w:hAnsi="Maiandra GD" w:cs="Times New Roman"/>
                <w:b/>
                <w:bCs/>
                <w:color w:val="000000" w:themeColor="text1"/>
              </w:rPr>
              <w:t xml:space="preserve"> </w:t>
            </w:r>
            <w:r w:rsidR="00EC30DA">
              <w:rPr>
                <w:rFonts w:ascii="Maiandra GD" w:eastAsia="Times New Roman" w:hAnsi="Maiandra GD" w:cs="Times New Roman"/>
                <w:b/>
                <w:bCs/>
                <w:color w:val="000000" w:themeColor="text1"/>
              </w:rPr>
              <w:t>3</w:t>
            </w:r>
            <w:r w:rsidRPr="00A9414D">
              <w:rPr>
                <w:rFonts w:ascii="Maiandra GD" w:eastAsia="Times New Roman" w:hAnsi="Maiandra GD" w:cs="Times New Roman"/>
                <w:b/>
                <w:bCs/>
                <w:color w:val="000000" w:themeColor="text1"/>
              </w:rPr>
              <w:t xml:space="preserve">: </w:t>
            </w:r>
            <w:r>
              <w:rPr>
                <w:rFonts w:ascii="Maiandra GD" w:eastAsia="Times New Roman" w:hAnsi="Maiandra GD" w:cs="Times New Roman"/>
                <w:b/>
                <w:bCs/>
                <w:color w:val="000000" w:themeColor="text1"/>
              </w:rPr>
              <w:t xml:space="preserve">Mr. </w:t>
            </w:r>
            <w:r w:rsidRPr="00A9414D">
              <w:rPr>
                <w:rFonts w:ascii="Maiandra GD" w:eastAsia="Times New Roman" w:hAnsi="Maiandra GD" w:cs="Times New Roman"/>
                <w:b/>
                <w:bCs/>
                <w:color w:val="000000" w:themeColor="text1"/>
              </w:rPr>
              <w:t xml:space="preserve">Sunil Kumar </w:t>
            </w:r>
            <w:r>
              <w:rPr>
                <w:rFonts w:ascii="Maiandra GD" w:eastAsia="Times New Roman" w:hAnsi="Maiandra GD" w:cs="Times New Roman"/>
                <w:b/>
                <w:bCs/>
                <w:color w:val="000000" w:themeColor="text1"/>
              </w:rPr>
              <w:t>– CEO Dataflow Group</w:t>
            </w:r>
          </w:p>
        </w:tc>
        <w:tc>
          <w:tcPr>
            <w:tcW w:w="2610" w:type="dxa"/>
            <w:vAlign w:val="center"/>
          </w:tcPr>
          <w:p w14:paraId="6CFFA504" w14:textId="77777777" w:rsidR="003D5577" w:rsidRPr="00A9414D" w:rsidRDefault="003D5577" w:rsidP="000F369C">
            <w:pPr>
              <w:spacing w:line="360" w:lineRule="auto"/>
              <w:jc w:val="both"/>
              <w:rPr>
                <w:rFonts w:ascii="Maiandra GD" w:hAnsi="Maiandra GD"/>
                <w:b/>
                <w:bCs/>
                <w:color w:val="000000" w:themeColor="text1"/>
              </w:rPr>
            </w:pPr>
            <w:r w:rsidRPr="00A9414D">
              <w:rPr>
                <w:rFonts w:ascii="Maiandra GD" w:hAnsi="Maiandra GD"/>
                <w:b/>
                <w:bCs/>
                <w:color w:val="000000" w:themeColor="text1"/>
              </w:rPr>
              <w:t>Trusted Micro-Credentials for Global Talent Mobility and Inclusion</w:t>
            </w:r>
          </w:p>
        </w:tc>
        <w:tc>
          <w:tcPr>
            <w:tcW w:w="5130" w:type="dxa"/>
            <w:vAlign w:val="center"/>
          </w:tcPr>
          <w:p w14:paraId="266A71DB" w14:textId="77777777" w:rsidR="003D5577" w:rsidRPr="00A9414D" w:rsidRDefault="003D5577" w:rsidP="000F369C">
            <w:pPr>
              <w:spacing w:line="360" w:lineRule="auto"/>
              <w:jc w:val="both"/>
              <w:rPr>
                <w:rFonts w:ascii="Maiandra GD" w:hAnsi="Maiandra GD"/>
                <w:color w:val="000000" w:themeColor="text1"/>
              </w:rPr>
            </w:pPr>
            <w:r w:rsidRPr="00A9414D">
              <w:rPr>
                <w:rFonts w:ascii="Maiandra GD" w:hAnsi="Maiandra GD"/>
                <w:color w:val="000000" w:themeColor="text1"/>
              </w:rPr>
              <w:t>To explore how verified micro-credentials enable trusted, portable skills, supporting global talent mobility, cross-border recognition, and inclusive access.</w:t>
            </w:r>
          </w:p>
        </w:tc>
      </w:tr>
      <w:tr w:rsidR="00DC4679" w:rsidRPr="00FB6A3B" w14:paraId="54186E35" w14:textId="77777777" w:rsidTr="000F369C">
        <w:tc>
          <w:tcPr>
            <w:tcW w:w="2430" w:type="dxa"/>
            <w:vAlign w:val="center"/>
          </w:tcPr>
          <w:p w14:paraId="68CB965C" w14:textId="111BAC87" w:rsidR="00DC4679" w:rsidRPr="00FB6A3B" w:rsidRDefault="00DC4679" w:rsidP="000F369C">
            <w:pPr>
              <w:spacing w:line="276" w:lineRule="auto"/>
              <w:jc w:val="both"/>
              <w:rPr>
                <w:rFonts w:ascii="Maiandra GD" w:hAnsi="Maiandra GD"/>
                <w:color w:val="000000" w:themeColor="text1"/>
              </w:rPr>
            </w:pPr>
            <w:r w:rsidRPr="00FB6A3B">
              <w:rPr>
                <w:rFonts w:ascii="Maiandra GD" w:eastAsia="Times New Roman" w:hAnsi="Maiandra GD" w:cs="Times New Roman"/>
                <w:b/>
                <w:bCs/>
                <w:color w:val="000000" w:themeColor="text1"/>
              </w:rPr>
              <w:lastRenderedPageBreak/>
              <w:t>Moderator: Dr. Carol Hunja</w:t>
            </w:r>
            <w:r w:rsidR="005124BE">
              <w:rPr>
                <w:rFonts w:ascii="Maiandra GD" w:eastAsia="Times New Roman" w:hAnsi="Maiandra GD" w:cs="Times New Roman"/>
                <w:b/>
                <w:bCs/>
                <w:color w:val="000000" w:themeColor="text1"/>
              </w:rPr>
              <w:t xml:space="preserve"> – </w:t>
            </w:r>
            <w:r w:rsidRPr="00FB6A3B">
              <w:rPr>
                <w:rFonts w:ascii="Maiandra GD" w:eastAsia="Times New Roman" w:hAnsi="Maiandra GD" w:cs="Times New Roman"/>
                <w:b/>
                <w:bCs/>
                <w:color w:val="000000" w:themeColor="text1"/>
              </w:rPr>
              <w:t>State</w:t>
            </w:r>
            <w:r w:rsidR="005124BE">
              <w:rPr>
                <w:rFonts w:ascii="Maiandra GD" w:eastAsia="Times New Roman" w:hAnsi="Maiandra GD" w:cs="Times New Roman"/>
                <w:b/>
                <w:bCs/>
                <w:color w:val="000000" w:themeColor="text1"/>
              </w:rPr>
              <w:t xml:space="preserve"> </w:t>
            </w:r>
            <w:r w:rsidRPr="00FB6A3B">
              <w:rPr>
                <w:rFonts w:ascii="Maiandra GD" w:eastAsia="Times New Roman" w:hAnsi="Maiandra GD" w:cs="Times New Roman"/>
                <w:b/>
                <w:bCs/>
                <w:color w:val="000000" w:themeColor="text1"/>
              </w:rPr>
              <w:t xml:space="preserve">Department for Higher Education </w:t>
            </w:r>
          </w:p>
        </w:tc>
        <w:tc>
          <w:tcPr>
            <w:tcW w:w="2610" w:type="dxa"/>
            <w:vAlign w:val="center"/>
          </w:tcPr>
          <w:p w14:paraId="655436B0"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b/>
                <w:bCs/>
                <w:color w:val="000000" w:themeColor="text1"/>
              </w:rPr>
              <w:t>System coherence and policy alignment</w:t>
            </w:r>
          </w:p>
        </w:tc>
        <w:tc>
          <w:tcPr>
            <w:tcW w:w="5130" w:type="dxa"/>
            <w:vAlign w:val="center"/>
          </w:tcPr>
          <w:p w14:paraId="6AC2F406" w14:textId="77777777" w:rsidR="00DC4679" w:rsidRPr="00FB6A3B" w:rsidRDefault="00DC4679" w:rsidP="000F369C">
            <w:pPr>
              <w:spacing w:line="360" w:lineRule="auto"/>
              <w:jc w:val="both"/>
              <w:rPr>
                <w:rFonts w:ascii="Maiandra GD" w:hAnsi="Maiandra GD"/>
                <w:color w:val="000000" w:themeColor="text1"/>
              </w:rPr>
            </w:pPr>
            <w:r w:rsidRPr="00FB6A3B">
              <w:rPr>
                <w:rFonts w:ascii="Maiandra GD" w:hAnsi="Maiandra GD"/>
                <w:color w:val="000000" w:themeColor="text1"/>
              </w:rPr>
              <w:t>To guide the discussion toward practical and policy-relevant outcomes, ensuring alignment with Kenya’s qualifications reforms and lifelong learning agenda.</w:t>
            </w:r>
          </w:p>
        </w:tc>
      </w:tr>
    </w:tbl>
    <w:p w14:paraId="2CF606EE" w14:textId="77777777" w:rsidR="00DC4679" w:rsidRPr="00F45407" w:rsidRDefault="00DC4679" w:rsidP="00DC4679">
      <w:pPr>
        <w:pStyle w:val="Heading1"/>
        <w:numPr>
          <w:ilvl w:val="0"/>
          <w:numId w:val="19"/>
        </w:numPr>
        <w:tabs>
          <w:tab w:val="num" w:pos="360"/>
        </w:tabs>
        <w:spacing w:line="360" w:lineRule="auto"/>
        <w:ind w:left="360" w:firstLine="0"/>
        <w:jc w:val="both"/>
        <w:rPr>
          <w:rFonts w:ascii="Maiandra GD" w:hAnsi="Maiandra GD" w:cs="Times New Roman"/>
          <w:b/>
          <w:bCs/>
          <w:sz w:val="22"/>
        </w:rPr>
      </w:pPr>
      <w:r w:rsidRPr="00F45407">
        <w:rPr>
          <w:rFonts w:ascii="Maiandra GD" w:hAnsi="Maiandra GD" w:cs="Times New Roman"/>
          <w:b/>
          <w:bCs/>
          <w:sz w:val="22"/>
          <w:szCs w:val="22"/>
        </w:rPr>
        <w:t>Guiding</w:t>
      </w:r>
      <w:r w:rsidRPr="00F45407">
        <w:rPr>
          <w:rFonts w:ascii="Maiandra GD" w:hAnsi="Maiandra GD" w:cs="Times New Roman"/>
          <w:b/>
          <w:bCs/>
          <w:sz w:val="22"/>
        </w:rPr>
        <w:t xml:space="preserve"> Questions for the Panel</w:t>
      </w:r>
    </w:p>
    <w:p w14:paraId="7574B345" w14:textId="77777777" w:rsidR="00DC4679" w:rsidRPr="00FB6A3B" w:rsidRDefault="00DC4679" w:rsidP="00DC4679">
      <w:pPr>
        <w:pStyle w:val="Heading1"/>
        <w:numPr>
          <w:ilvl w:val="0"/>
          <w:numId w:val="18"/>
        </w:numPr>
        <w:tabs>
          <w:tab w:val="num" w:pos="360"/>
        </w:tabs>
        <w:spacing w:line="360" w:lineRule="auto"/>
        <w:ind w:left="0" w:firstLine="0"/>
        <w:jc w:val="both"/>
        <w:rPr>
          <w:rFonts w:ascii="Maiandra GD" w:hAnsi="Maiandra GD"/>
          <w:color w:val="000000" w:themeColor="text1"/>
          <w:sz w:val="22"/>
          <w:szCs w:val="22"/>
        </w:rPr>
      </w:pPr>
      <w:r w:rsidRPr="00FB6A3B">
        <w:rPr>
          <w:rFonts w:ascii="Maiandra GD" w:eastAsiaTheme="minorEastAsia" w:hAnsi="Maiandra GD" w:cstheme="minorBidi"/>
          <w:color w:val="000000" w:themeColor="text1"/>
          <w:sz w:val="22"/>
          <w:szCs w:val="22"/>
        </w:rPr>
        <w:t>How can micro-credentials be effectively integrated into the KNQF as part of a coherent qualifications system, rather than as standalone offerings? [</w:t>
      </w:r>
      <w:r w:rsidRPr="00FB6A3B">
        <w:rPr>
          <w:rFonts w:ascii="Maiandra GD" w:eastAsiaTheme="minorEastAsia" w:hAnsi="Maiandra GD" w:cstheme="minorBidi"/>
          <w:i/>
          <w:color w:val="000000" w:themeColor="text1"/>
          <w:sz w:val="22"/>
          <w:szCs w:val="22"/>
        </w:rPr>
        <w:t xml:space="preserve">Addressed to: </w:t>
      </w:r>
      <w:r w:rsidRPr="00FB6A3B">
        <w:rPr>
          <w:rFonts w:ascii="Maiandra GD" w:eastAsia="Times New Roman" w:hAnsi="Maiandra GD" w:cs="Times New Roman"/>
          <w:i/>
          <w:color w:val="000000" w:themeColor="text1"/>
          <w:sz w:val="22"/>
          <w:szCs w:val="22"/>
        </w:rPr>
        <w:t>Albert Okal (Skills &amp; Lifelong Learning Specialist (ILO)]</w:t>
      </w:r>
    </w:p>
    <w:p w14:paraId="190E63F7" w14:textId="2374F952" w:rsidR="00DC4679" w:rsidRPr="00FB6A3B" w:rsidRDefault="00DC4679" w:rsidP="005124BE">
      <w:pPr>
        <w:pStyle w:val="Heading1"/>
        <w:numPr>
          <w:ilvl w:val="0"/>
          <w:numId w:val="18"/>
        </w:numPr>
        <w:tabs>
          <w:tab w:val="num" w:pos="360"/>
        </w:tabs>
        <w:spacing w:before="0" w:line="360" w:lineRule="auto"/>
        <w:ind w:left="0" w:firstLine="0"/>
        <w:jc w:val="both"/>
        <w:rPr>
          <w:rFonts w:ascii="Maiandra GD" w:hAnsi="Maiandra GD"/>
          <w:b/>
          <w:i/>
          <w:color w:val="000000" w:themeColor="text1"/>
          <w:sz w:val="22"/>
          <w:szCs w:val="22"/>
        </w:rPr>
      </w:pPr>
      <w:r w:rsidRPr="00FB6A3B">
        <w:rPr>
          <w:rFonts w:ascii="Maiandra GD" w:eastAsiaTheme="minorEastAsia" w:hAnsi="Maiandra GD" w:cstheme="minorBidi"/>
          <w:color w:val="000000" w:themeColor="text1"/>
          <w:sz w:val="22"/>
          <w:szCs w:val="22"/>
        </w:rPr>
        <w:t xml:space="preserve">What is the key policy, regulatory, and quality assurance considerations required to ensure credibility and trust in micro-credentials? </w:t>
      </w:r>
      <w:r w:rsidRPr="00FB6A3B">
        <w:rPr>
          <w:rFonts w:ascii="Maiandra GD" w:eastAsiaTheme="minorEastAsia" w:hAnsi="Maiandra GD" w:cstheme="minorBidi"/>
          <w:i/>
          <w:color w:val="000000" w:themeColor="text1"/>
          <w:sz w:val="22"/>
          <w:szCs w:val="22"/>
        </w:rPr>
        <w:t xml:space="preserve">[Addressed to: </w:t>
      </w:r>
      <w:r w:rsidRPr="00FB6A3B">
        <w:rPr>
          <w:rFonts w:ascii="Maiandra GD" w:eastAsia="Times New Roman" w:hAnsi="Maiandra GD" w:cs="Times New Roman"/>
          <w:i/>
          <w:color w:val="000000" w:themeColor="text1"/>
          <w:sz w:val="22"/>
          <w:szCs w:val="22"/>
        </w:rPr>
        <w:t xml:space="preserve">Eduarda Castel Branco </w:t>
      </w:r>
      <w:r w:rsidR="000E5BD7">
        <w:rPr>
          <w:rFonts w:ascii="Maiandra GD" w:eastAsia="Times New Roman" w:hAnsi="Maiandra GD" w:cs="Times New Roman"/>
          <w:i/>
          <w:color w:val="000000" w:themeColor="text1"/>
          <w:sz w:val="22"/>
          <w:szCs w:val="22"/>
        </w:rPr>
        <w:t>[</w:t>
      </w:r>
      <w:r w:rsidRPr="00FB6A3B">
        <w:rPr>
          <w:rFonts w:ascii="Maiandra GD" w:eastAsia="Times New Roman" w:hAnsi="Maiandra GD" w:cs="Times New Roman"/>
          <w:i/>
          <w:color w:val="000000" w:themeColor="text1"/>
          <w:sz w:val="22"/>
          <w:szCs w:val="22"/>
        </w:rPr>
        <w:t>Expert in Lifelong Learning &amp; Qualifications Systems</w:t>
      </w:r>
      <w:r w:rsidR="000E5BD7">
        <w:rPr>
          <w:rFonts w:ascii="Maiandra GD" w:eastAsia="Times New Roman" w:hAnsi="Maiandra GD" w:cs="Times New Roman"/>
          <w:i/>
          <w:color w:val="000000" w:themeColor="text1"/>
          <w:sz w:val="22"/>
          <w:szCs w:val="22"/>
        </w:rPr>
        <w:t>]</w:t>
      </w:r>
      <w:r w:rsidRPr="00FB6A3B">
        <w:rPr>
          <w:rFonts w:ascii="Maiandra GD" w:eastAsia="Times New Roman" w:hAnsi="Maiandra GD" w:cs="Times New Roman"/>
          <w:i/>
          <w:color w:val="000000" w:themeColor="text1"/>
          <w:sz w:val="22"/>
          <w:szCs w:val="22"/>
        </w:rPr>
        <w:t>)</w:t>
      </w:r>
    </w:p>
    <w:p w14:paraId="581DC4FC" w14:textId="598D884B" w:rsidR="00DC4679" w:rsidRPr="00FB6A3B" w:rsidRDefault="00DC4679" w:rsidP="00DC4679">
      <w:pPr>
        <w:pStyle w:val="Heading1"/>
        <w:numPr>
          <w:ilvl w:val="0"/>
          <w:numId w:val="18"/>
        </w:numPr>
        <w:tabs>
          <w:tab w:val="num" w:pos="360"/>
        </w:tabs>
        <w:spacing w:line="360" w:lineRule="auto"/>
        <w:ind w:left="0" w:firstLine="0"/>
        <w:jc w:val="both"/>
        <w:rPr>
          <w:rFonts w:ascii="Maiandra GD" w:hAnsi="Maiandra GD"/>
          <w:color w:val="000000" w:themeColor="text1"/>
          <w:sz w:val="22"/>
          <w:szCs w:val="22"/>
        </w:rPr>
      </w:pPr>
      <w:r w:rsidRPr="00FB6A3B">
        <w:rPr>
          <w:rFonts w:ascii="Maiandra GD" w:eastAsiaTheme="minorEastAsia" w:hAnsi="Maiandra GD" w:cstheme="minorBidi"/>
          <w:color w:val="000000" w:themeColor="text1"/>
          <w:sz w:val="22"/>
          <w:szCs w:val="22"/>
        </w:rPr>
        <w:t xml:space="preserve">How can micro-credentials be aligned with KCATS, RPL, and modular learning systems to support seamless learner progression? </w:t>
      </w:r>
      <w:r w:rsidRPr="00FB6A3B">
        <w:rPr>
          <w:rFonts w:ascii="Maiandra GD" w:eastAsiaTheme="minorEastAsia" w:hAnsi="Maiandra GD" w:cstheme="minorBidi"/>
          <w:i/>
          <w:color w:val="000000" w:themeColor="text1"/>
          <w:sz w:val="22"/>
          <w:szCs w:val="22"/>
        </w:rPr>
        <w:t xml:space="preserve">[Addressed to: </w:t>
      </w:r>
      <w:r w:rsidRPr="00FB6A3B">
        <w:rPr>
          <w:rFonts w:ascii="Maiandra GD" w:eastAsia="Times New Roman" w:hAnsi="Maiandra GD" w:cs="Times New Roman"/>
          <w:i/>
          <w:color w:val="000000" w:themeColor="text1"/>
          <w:sz w:val="22"/>
          <w:szCs w:val="22"/>
        </w:rPr>
        <w:t>Albert Okal (Skills &amp; Lifelong Learning Specialist (ILO); Eduarda Castel Branco (Expert in Lifelong Learning &amp; Qualifications Systems)]</w:t>
      </w:r>
    </w:p>
    <w:p w14:paraId="091AD19D" w14:textId="77777777" w:rsidR="00DC4679" w:rsidRPr="00FB6A3B" w:rsidRDefault="00DC4679" w:rsidP="00DC4679">
      <w:pPr>
        <w:pStyle w:val="Heading1"/>
        <w:numPr>
          <w:ilvl w:val="0"/>
          <w:numId w:val="18"/>
        </w:numPr>
        <w:tabs>
          <w:tab w:val="num" w:pos="360"/>
        </w:tabs>
        <w:spacing w:line="360" w:lineRule="auto"/>
        <w:ind w:left="0" w:firstLine="0"/>
        <w:jc w:val="both"/>
        <w:rPr>
          <w:rFonts w:ascii="Maiandra GD" w:eastAsiaTheme="minorEastAsia" w:hAnsi="Maiandra GD" w:cstheme="minorBidi"/>
          <w:b/>
          <w:bCs/>
          <w:color w:val="000000" w:themeColor="text1"/>
          <w:sz w:val="22"/>
          <w:szCs w:val="22"/>
        </w:rPr>
      </w:pPr>
      <w:r w:rsidRPr="00FB6A3B">
        <w:rPr>
          <w:rFonts w:ascii="Maiandra GD" w:eastAsiaTheme="minorEastAsia" w:hAnsi="Maiandra GD" w:cstheme="minorBidi"/>
          <w:color w:val="000000" w:themeColor="text1"/>
          <w:sz w:val="22"/>
          <w:szCs w:val="22"/>
        </w:rPr>
        <w:t xml:space="preserve">What role should employers play in the design, recognition, and uptake of micro-credentials? </w:t>
      </w:r>
      <w:r w:rsidRPr="00FB6A3B">
        <w:rPr>
          <w:rFonts w:ascii="Maiandra GD" w:eastAsiaTheme="minorEastAsia" w:hAnsi="Maiandra GD" w:cstheme="minorBidi"/>
          <w:i/>
          <w:color w:val="000000" w:themeColor="text1"/>
          <w:sz w:val="22"/>
          <w:szCs w:val="22"/>
        </w:rPr>
        <w:t xml:space="preserve">[Addressed to: </w:t>
      </w:r>
      <w:r w:rsidRPr="00FB6A3B">
        <w:rPr>
          <w:rFonts w:ascii="Maiandra GD" w:eastAsia="Times New Roman" w:hAnsi="Maiandra GD" w:cs="Times New Roman"/>
          <w:i/>
          <w:color w:val="000000" w:themeColor="text1"/>
          <w:sz w:val="22"/>
          <w:szCs w:val="22"/>
        </w:rPr>
        <w:t>Dr. Purity Ngina (CEO, National Gender Equality Commission (NGEC)]</w:t>
      </w:r>
    </w:p>
    <w:p w14:paraId="64E8343F" w14:textId="77777777" w:rsidR="00DC4679" w:rsidRPr="00FB6A3B" w:rsidRDefault="00DC4679" w:rsidP="00DC4679">
      <w:pPr>
        <w:pStyle w:val="Heading1"/>
        <w:numPr>
          <w:ilvl w:val="0"/>
          <w:numId w:val="18"/>
        </w:numPr>
        <w:tabs>
          <w:tab w:val="num" w:pos="360"/>
        </w:tabs>
        <w:spacing w:line="360" w:lineRule="auto"/>
        <w:ind w:left="0" w:firstLine="0"/>
        <w:jc w:val="both"/>
        <w:rPr>
          <w:rFonts w:ascii="Maiandra GD" w:hAnsi="Maiandra GD"/>
          <w:color w:val="000000" w:themeColor="text1"/>
          <w:sz w:val="22"/>
          <w:szCs w:val="22"/>
        </w:rPr>
      </w:pPr>
      <w:r w:rsidRPr="00FB6A3B">
        <w:rPr>
          <w:rFonts w:ascii="Maiandra GD" w:eastAsiaTheme="minorEastAsia" w:hAnsi="Maiandra GD" w:cstheme="minorBidi"/>
          <w:color w:val="000000" w:themeColor="text1"/>
          <w:sz w:val="22"/>
          <w:szCs w:val="22"/>
        </w:rPr>
        <w:t xml:space="preserve">How can micro-credentials expand access for youth, women, informal sector workers, and other marginalised groups? </w:t>
      </w:r>
      <w:r w:rsidRPr="00FB6A3B">
        <w:rPr>
          <w:rFonts w:ascii="Maiandra GD" w:eastAsiaTheme="minorEastAsia" w:hAnsi="Maiandra GD" w:cstheme="minorBidi"/>
          <w:i/>
          <w:color w:val="000000" w:themeColor="text1"/>
          <w:sz w:val="22"/>
          <w:szCs w:val="22"/>
        </w:rPr>
        <w:t xml:space="preserve">[Addressed to: </w:t>
      </w:r>
      <w:r w:rsidRPr="00FB6A3B">
        <w:rPr>
          <w:rFonts w:ascii="Maiandra GD" w:eastAsia="Times New Roman" w:hAnsi="Maiandra GD" w:cs="Times New Roman"/>
          <w:i/>
          <w:color w:val="000000" w:themeColor="text1"/>
          <w:sz w:val="22"/>
          <w:szCs w:val="22"/>
        </w:rPr>
        <w:t>Dr. Purity Ngina (CEO, National Gender Equality Commission (NGEC)]</w:t>
      </w:r>
    </w:p>
    <w:p w14:paraId="3B294847" w14:textId="77777777" w:rsidR="00DC4679" w:rsidRPr="00FB6A3B" w:rsidRDefault="00DC4679" w:rsidP="00DC4679">
      <w:pPr>
        <w:pStyle w:val="Heading1"/>
        <w:numPr>
          <w:ilvl w:val="0"/>
          <w:numId w:val="18"/>
        </w:numPr>
        <w:tabs>
          <w:tab w:val="num" w:pos="360"/>
        </w:tabs>
        <w:spacing w:line="360" w:lineRule="auto"/>
        <w:ind w:left="0" w:firstLine="0"/>
        <w:jc w:val="both"/>
        <w:rPr>
          <w:rFonts w:ascii="Maiandra GD" w:eastAsiaTheme="minorEastAsia" w:hAnsi="Maiandra GD" w:cstheme="minorBidi"/>
          <w:b/>
          <w:bCs/>
          <w:i/>
          <w:color w:val="000000" w:themeColor="text1"/>
          <w:sz w:val="22"/>
          <w:szCs w:val="22"/>
        </w:rPr>
      </w:pPr>
      <w:r w:rsidRPr="00FB6A3B">
        <w:rPr>
          <w:rFonts w:ascii="Maiandra GD" w:eastAsiaTheme="minorEastAsia" w:hAnsi="Maiandra GD" w:cstheme="minorBidi"/>
          <w:color w:val="000000" w:themeColor="text1"/>
          <w:sz w:val="22"/>
          <w:szCs w:val="22"/>
        </w:rPr>
        <w:t xml:space="preserve">What are the main barriers to scaling micro-credentials in Kenya, and how can they be addressed? </w:t>
      </w:r>
      <w:r w:rsidRPr="00FB6A3B">
        <w:rPr>
          <w:rFonts w:ascii="Maiandra GD" w:eastAsiaTheme="minorEastAsia" w:hAnsi="Maiandra GD" w:cstheme="minorBidi"/>
          <w:i/>
          <w:color w:val="000000" w:themeColor="text1"/>
          <w:sz w:val="22"/>
          <w:szCs w:val="22"/>
        </w:rPr>
        <w:t>[Addressed to: Albert Okal (Skills &amp; Lifelong Learning Specialist (ILO)]</w:t>
      </w:r>
    </w:p>
    <w:p w14:paraId="39C69B25" w14:textId="77777777" w:rsidR="00DC4679" w:rsidRDefault="00DC4679" w:rsidP="00DC4679">
      <w:pPr>
        <w:pStyle w:val="Heading1"/>
        <w:numPr>
          <w:ilvl w:val="0"/>
          <w:numId w:val="18"/>
        </w:numPr>
        <w:tabs>
          <w:tab w:val="num" w:pos="360"/>
        </w:tabs>
        <w:spacing w:line="360" w:lineRule="auto"/>
        <w:ind w:left="0" w:firstLine="0"/>
        <w:jc w:val="both"/>
        <w:rPr>
          <w:rFonts w:ascii="Maiandra GD" w:eastAsia="Times New Roman" w:hAnsi="Maiandra GD" w:cs="Times New Roman"/>
          <w:b/>
          <w:i/>
          <w:color w:val="000000" w:themeColor="text1"/>
          <w:sz w:val="22"/>
          <w:szCs w:val="22"/>
        </w:rPr>
      </w:pPr>
      <w:r w:rsidRPr="00FB6A3B">
        <w:rPr>
          <w:rFonts w:ascii="Maiandra GD" w:eastAsiaTheme="minorEastAsia" w:hAnsi="Maiandra GD" w:cstheme="minorBidi"/>
          <w:color w:val="000000" w:themeColor="text1"/>
          <w:sz w:val="22"/>
          <w:szCs w:val="22"/>
        </w:rPr>
        <w:t xml:space="preserve">How can micro-credentials contribute to reskilling, upskilling, and responding to emerging labour market needs? </w:t>
      </w:r>
      <w:r w:rsidRPr="00FB6A3B">
        <w:rPr>
          <w:rFonts w:ascii="Maiandra GD" w:eastAsiaTheme="minorEastAsia" w:hAnsi="Maiandra GD" w:cstheme="minorBidi"/>
          <w:i/>
          <w:color w:val="000000" w:themeColor="text1"/>
          <w:sz w:val="22"/>
          <w:szCs w:val="22"/>
        </w:rPr>
        <w:t xml:space="preserve">[Addressed to: </w:t>
      </w:r>
      <w:r w:rsidRPr="00FB6A3B">
        <w:rPr>
          <w:rFonts w:ascii="Maiandra GD" w:eastAsia="Times New Roman" w:hAnsi="Maiandra GD" w:cs="Times New Roman"/>
          <w:i/>
          <w:color w:val="000000" w:themeColor="text1"/>
          <w:sz w:val="22"/>
          <w:szCs w:val="22"/>
        </w:rPr>
        <w:t>Albert Okal (Skills &amp; Lifelong Learning Specialist (ILO)]</w:t>
      </w:r>
    </w:p>
    <w:p w14:paraId="133A9BA2" w14:textId="77777777" w:rsidR="00DC4679" w:rsidRPr="00094A44" w:rsidRDefault="00DC4679" w:rsidP="00DC4679">
      <w:pPr>
        <w:pStyle w:val="Heading1"/>
        <w:numPr>
          <w:ilvl w:val="0"/>
          <w:numId w:val="18"/>
        </w:numPr>
        <w:tabs>
          <w:tab w:val="num" w:pos="360"/>
        </w:tabs>
        <w:spacing w:line="360" w:lineRule="auto"/>
        <w:ind w:left="0" w:firstLine="0"/>
        <w:jc w:val="both"/>
        <w:rPr>
          <w:rFonts w:ascii="Maiandra GD" w:hAnsi="Maiandra GD"/>
          <w:b/>
          <w:bCs/>
          <w:i/>
          <w:iCs/>
          <w:color w:val="000000" w:themeColor="text1"/>
          <w:sz w:val="22"/>
        </w:rPr>
      </w:pPr>
      <w:r w:rsidRPr="00094A44">
        <w:rPr>
          <w:rFonts w:ascii="Maiandra GD" w:hAnsi="Maiandra GD"/>
          <w:color w:val="000000" w:themeColor="text1"/>
          <w:sz w:val="22"/>
        </w:rPr>
        <w:t>How can verification and credentialing systems be strengthened to ensure micro-credentials are trusted, portable, and widely recognized across borders to support global talent mobility?</w:t>
      </w:r>
      <w:r w:rsidRPr="00094A44">
        <w:rPr>
          <w:rFonts w:ascii="Maiandra GD" w:eastAsiaTheme="minorEastAsia" w:hAnsi="Maiandra GD" w:cstheme="minorBidi"/>
          <w:color w:val="000000" w:themeColor="text1"/>
          <w:sz w:val="22"/>
          <w:szCs w:val="22"/>
        </w:rPr>
        <w:t xml:space="preserve"> </w:t>
      </w:r>
      <w:r w:rsidRPr="00094A44">
        <w:rPr>
          <w:rFonts w:ascii="Maiandra GD" w:eastAsiaTheme="minorEastAsia" w:hAnsi="Maiandra GD" w:cstheme="minorBidi"/>
          <w:i/>
          <w:iCs/>
          <w:color w:val="000000" w:themeColor="text1"/>
          <w:sz w:val="22"/>
          <w:szCs w:val="22"/>
        </w:rPr>
        <w:t xml:space="preserve">[Addressed to: </w:t>
      </w:r>
      <w:r w:rsidRPr="00094A44">
        <w:rPr>
          <w:rFonts w:ascii="Maiandra GD" w:hAnsi="Maiandra GD"/>
          <w:i/>
          <w:iCs/>
          <w:color w:val="000000" w:themeColor="text1"/>
          <w:sz w:val="22"/>
        </w:rPr>
        <w:t>Sunil Kumar (DataFlow)]</w:t>
      </w:r>
    </w:p>
    <w:p w14:paraId="4A714A60" w14:textId="77777777" w:rsidR="00DC4679" w:rsidRDefault="00DC4679" w:rsidP="00DC4679">
      <w:pPr>
        <w:spacing w:after="200"/>
        <w:rPr>
          <w:rFonts w:ascii="Maiandra GD" w:hAnsi="Maiandra GD"/>
          <w:color w:val="000000" w:themeColor="text1"/>
        </w:rPr>
      </w:pPr>
      <w:r>
        <w:rPr>
          <w:rFonts w:ascii="Maiandra GD" w:hAnsi="Maiandra GD"/>
          <w:color w:val="000000" w:themeColor="text1"/>
        </w:rPr>
        <w:br w:type="page"/>
      </w:r>
    </w:p>
    <w:p w14:paraId="773F2B60" w14:textId="77777777" w:rsidR="00DC4679" w:rsidRPr="00D85AF9" w:rsidRDefault="00DC4679" w:rsidP="00DC4679">
      <w:pPr>
        <w:pStyle w:val="Heading1"/>
        <w:numPr>
          <w:ilvl w:val="0"/>
          <w:numId w:val="19"/>
        </w:numPr>
        <w:tabs>
          <w:tab w:val="num" w:pos="360"/>
        </w:tabs>
        <w:spacing w:line="480" w:lineRule="auto"/>
        <w:ind w:left="360" w:firstLine="0"/>
        <w:jc w:val="both"/>
        <w:rPr>
          <w:rFonts w:ascii="Maiandra GD" w:hAnsi="Maiandra GD" w:cs="Times New Roman"/>
          <w:b/>
          <w:bCs/>
          <w:sz w:val="22"/>
          <w:szCs w:val="22"/>
        </w:rPr>
      </w:pPr>
      <w:r w:rsidRPr="00D85AF9">
        <w:rPr>
          <w:rFonts w:ascii="Maiandra GD" w:hAnsi="Maiandra GD" w:cs="Times New Roman"/>
          <w:b/>
          <w:bCs/>
          <w:sz w:val="22"/>
          <w:szCs w:val="22"/>
        </w:rPr>
        <w:lastRenderedPageBreak/>
        <w:t>Suggested Moderator Framing</w:t>
      </w:r>
    </w:p>
    <w:tbl>
      <w:tblPr>
        <w:tblW w:w="0" w:type="auto"/>
        <w:jc w:val="center"/>
        <w:tblLook w:val="04A0" w:firstRow="1" w:lastRow="0" w:firstColumn="1" w:lastColumn="0" w:noHBand="0" w:noVBand="1"/>
      </w:tblPr>
      <w:tblGrid>
        <w:gridCol w:w="9893"/>
      </w:tblGrid>
      <w:tr w:rsidR="00DC4679" w:rsidRPr="00FB6A3B" w14:paraId="5A15AD27" w14:textId="77777777" w:rsidTr="000F369C">
        <w:trPr>
          <w:jc w:val="center"/>
        </w:trPr>
        <w:tc>
          <w:tcPr>
            <w:tcW w:w="9936" w:type="dxa"/>
            <w:shd w:val="clear" w:color="auto" w:fill="F3F7FB"/>
            <w:tcMar>
              <w:top w:w="120" w:type="dxa"/>
              <w:left w:w="160" w:type="dxa"/>
              <w:bottom w:w="120" w:type="dxa"/>
              <w:right w:w="160" w:type="dxa"/>
            </w:tcMar>
            <w:vAlign w:val="center"/>
          </w:tcPr>
          <w:p w14:paraId="4D6FEE4C" w14:textId="77777777" w:rsidR="00DC4679" w:rsidRPr="00FB6A3B" w:rsidRDefault="00DC4679" w:rsidP="000F369C">
            <w:pPr>
              <w:shd w:val="clear" w:color="auto" w:fill="DEEAF6" w:themeFill="accent5" w:themeFillTint="33"/>
              <w:spacing w:after="0" w:line="360" w:lineRule="auto"/>
              <w:jc w:val="both"/>
              <w:rPr>
                <w:rFonts w:ascii="Maiandra GD" w:eastAsia="Times New Roman" w:hAnsi="Maiandra GD" w:cs="Times New Roman"/>
                <w:b/>
                <w:color w:val="000000" w:themeColor="text1"/>
                <w:sz w:val="22"/>
              </w:rPr>
            </w:pPr>
            <w:r w:rsidRPr="00704409">
              <w:rPr>
                <w:rFonts w:ascii="Maiandra GD" w:hAnsi="Maiandra GD" w:cs="Tahoma"/>
                <w:b/>
                <w:bCs/>
                <w:color w:val="28435D"/>
              </w:rPr>
              <w:t>If Kenya is to build a truly inclusive and lifelong learning-oriented qualifications system, how can micro-credentials be used not just as short courses, but as credible, recognised, and scalable pathways that expand access, support progression, and respond to the realities of work and learning in a rapidly changing economy?</w:t>
            </w:r>
          </w:p>
        </w:tc>
      </w:tr>
    </w:tbl>
    <w:p w14:paraId="0CA09F51" w14:textId="77777777" w:rsidR="00DC4679" w:rsidRPr="00D85AF9" w:rsidRDefault="00DC4679" w:rsidP="00DC4679">
      <w:pPr>
        <w:pStyle w:val="Heading1"/>
        <w:numPr>
          <w:ilvl w:val="0"/>
          <w:numId w:val="19"/>
        </w:numPr>
        <w:tabs>
          <w:tab w:val="num" w:pos="360"/>
        </w:tabs>
        <w:spacing w:line="480" w:lineRule="auto"/>
        <w:ind w:left="360" w:firstLine="0"/>
        <w:jc w:val="both"/>
        <w:rPr>
          <w:rFonts w:ascii="Maiandra GD" w:hAnsi="Maiandra GD" w:cs="Times New Roman"/>
          <w:b/>
          <w:bCs/>
          <w:sz w:val="22"/>
          <w:szCs w:val="22"/>
        </w:rPr>
      </w:pPr>
      <w:r w:rsidRPr="00D85AF9">
        <w:rPr>
          <w:rFonts w:ascii="Maiandra GD" w:hAnsi="Maiandra GD" w:cs="Times New Roman"/>
          <w:b/>
          <w:bCs/>
          <w:sz w:val="22"/>
          <w:szCs w:val="22"/>
        </w:rPr>
        <w:t>Key Closing Message</w:t>
      </w:r>
    </w:p>
    <w:p w14:paraId="090C9A5B" w14:textId="77777777" w:rsidR="00DC4679" w:rsidRPr="00FB6A3B" w:rsidRDefault="00DC4679" w:rsidP="00DC4679">
      <w:pPr>
        <w:spacing w:before="40" w:after="40" w:line="360" w:lineRule="auto"/>
        <w:ind w:left="288" w:right="288"/>
        <w:jc w:val="both"/>
        <w:rPr>
          <w:rFonts w:ascii="Maiandra GD" w:hAnsi="Maiandra GD"/>
          <w:i/>
          <w:color w:val="2E4C64"/>
        </w:rPr>
      </w:pPr>
      <w:r>
        <w:rPr>
          <w:rFonts w:ascii="Maiandra GD" w:hAnsi="Maiandra GD"/>
          <w:i/>
          <w:color w:val="2E4C64"/>
        </w:rPr>
        <w:t>“</w:t>
      </w:r>
      <w:r w:rsidRPr="00FB6A3B">
        <w:rPr>
          <w:rFonts w:ascii="Maiandra GD" w:hAnsi="Maiandra GD"/>
          <w:i/>
          <w:color w:val="2E4C64"/>
        </w:rPr>
        <w:t>Micro-credentials represent more than a new form of certification. They offer a pathway toward a more flexible, inclusive, and responsive qualifications system—one that recognises learning wherever it happens, supports continuous skills development, and connects education more directly to opportunity.</w:t>
      </w:r>
    </w:p>
    <w:p w14:paraId="438A43D0" w14:textId="77777777" w:rsidR="00DC4679" w:rsidRPr="00FB6A3B" w:rsidRDefault="00DC4679" w:rsidP="00DC4679">
      <w:pPr>
        <w:spacing w:before="40" w:after="40" w:line="360" w:lineRule="auto"/>
        <w:ind w:left="288" w:right="288"/>
        <w:jc w:val="both"/>
        <w:rPr>
          <w:rFonts w:ascii="Maiandra GD" w:hAnsi="Maiandra GD"/>
          <w:i/>
          <w:color w:val="2E4C64"/>
        </w:rPr>
      </w:pPr>
      <w:r w:rsidRPr="00FB6A3B">
        <w:rPr>
          <w:rFonts w:ascii="Maiandra GD" w:hAnsi="Maiandra GD"/>
          <w:i/>
          <w:color w:val="2E4C64"/>
        </w:rPr>
        <w:t>If effectively integrated into the KNQF, micro-credentials can help transform lifelong learning from aspiration into reality, ensuring that every learner has a pathway, every skill has value, and every qualification has meaning.</w:t>
      </w:r>
      <w:r>
        <w:rPr>
          <w:rFonts w:ascii="Maiandra GD" w:hAnsi="Maiandra GD"/>
          <w:i/>
          <w:color w:val="2E4C64"/>
        </w:rPr>
        <w:t>”</w:t>
      </w:r>
    </w:p>
    <w:p w14:paraId="2A586997" w14:textId="77777777" w:rsidR="00DC4679" w:rsidRPr="00FB6A3B" w:rsidRDefault="00DC4679" w:rsidP="00DC4679">
      <w:pPr>
        <w:pStyle w:val="NoSpacing"/>
        <w:spacing w:line="360" w:lineRule="auto"/>
        <w:jc w:val="both"/>
        <w:rPr>
          <w:rFonts w:ascii="Maiandra GD" w:hAnsi="Maiandra GD"/>
          <w:color w:val="000000" w:themeColor="text1"/>
        </w:rPr>
      </w:pPr>
    </w:p>
    <w:p w14:paraId="6200F384" w14:textId="0F8B464B" w:rsidR="00DC4679" w:rsidRDefault="00DC4679"/>
    <w:sectPr w:rsidR="00DC4679"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879C9" w14:textId="77777777" w:rsidR="00344124" w:rsidRDefault="00344124">
      <w:pPr>
        <w:spacing w:after="0" w:line="240" w:lineRule="auto"/>
      </w:pPr>
      <w:r>
        <w:separator/>
      </w:r>
    </w:p>
  </w:endnote>
  <w:endnote w:type="continuationSeparator" w:id="0">
    <w:p w14:paraId="24584A7D" w14:textId="77777777" w:rsidR="00344124" w:rsidRDefault="00344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0C8D2439"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 xml:space="preserve">Panel </w:t>
        </w:r>
        <w:r w:rsidR="00A449E9">
          <w:rPr>
            <w:rFonts w:ascii="Maiandra GD" w:hAnsi="Maiandra GD" w:cs="Tahoma"/>
            <w:sz w:val="20"/>
            <w:szCs w:val="20"/>
          </w:rPr>
          <w:t>V</w:t>
        </w:r>
        <w:r w:rsidRPr="000721E5">
          <w:rPr>
            <w:rFonts w:ascii="Maiandra GD" w:hAnsi="Maiandra GD" w:cs="Tahoma"/>
            <w:sz w:val="20"/>
            <w:szCs w:val="20"/>
          </w:rPr>
          <w:t>I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A3987" w14:textId="77777777" w:rsidR="00344124" w:rsidRDefault="00344124">
      <w:pPr>
        <w:spacing w:after="0" w:line="240" w:lineRule="auto"/>
      </w:pPr>
      <w:r>
        <w:separator/>
      </w:r>
    </w:p>
  </w:footnote>
  <w:footnote w:type="continuationSeparator" w:id="0">
    <w:p w14:paraId="64EBCCA0" w14:textId="77777777" w:rsidR="00344124" w:rsidRDefault="00344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92FC34C0"/>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190640"/>
    <w:multiLevelType w:val="hybridMultilevel"/>
    <w:tmpl w:val="4F9A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84603"/>
    <w:multiLevelType w:val="hybridMultilevel"/>
    <w:tmpl w:val="698A53D2"/>
    <w:lvl w:ilvl="0" w:tplc="2000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4"/>
  </w:num>
  <w:num w:numId="2" w16cid:durableId="2135978060">
    <w:abstractNumId w:val="19"/>
  </w:num>
  <w:num w:numId="3" w16cid:durableId="1228954275">
    <w:abstractNumId w:val="17"/>
  </w:num>
  <w:num w:numId="4" w16cid:durableId="894239198">
    <w:abstractNumId w:val="20"/>
  </w:num>
  <w:num w:numId="5" w16cid:durableId="12346004">
    <w:abstractNumId w:val="16"/>
  </w:num>
  <w:num w:numId="6" w16cid:durableId="2055617305">
    <w:abstractNumId w:val="9"/>
  </w:num>
  <w:num w:numId="7" w16cid:durableId="1598950558">
    <w:abstractNumId w:val="12"/>
  </w:num>
  <w:num w:numId="8" w16cid:durableId="1226599008">
    <w:abstractNumId w:val="11"/>
  </w:num>
  <w:num w:numId="9" w16cid:durableId="67923895">
    <w:abstractNumId w:val="15"/>
  </w:num>
  <w:num w:numId="10" w16cid:durableId="364253548">
    <w:abstractNumId w:val="7"/>
  </w:num>
  <w:num w:numId="11" w16cid:durableId="1625650713">
    <w:abstractNumId w:val="21"/>
  </w:num>
  <w:num w:numId="12" w16cid:durableId="2129660890">
    <w:abstractNumId w:val="3"/>
  </w:num>
  <w:num w:numId="13" w16cid:durableId="619839711">
    <w:abstractNumId w:val="1"/>
  </w:num>
  <w:num w:numId="14" w16cid:durableId="457919373">
    <w:abstractNumId w:val="0"/>
  </w:num>
  <w:num w:numId="15" w16cid:durableId="1702903615">
    <w:abstractNumId w:val="10"/>
  </w:num>
  <w:num w:numId="16" w16cid:durableId="1645239849">
    <w:abstractNumId w:val="13"/>
  </w:num>
  <w:num w:numId="17" w16cid:durableId="64645069">
    <w:abstractNumId w:val="18"/>
  </w:num>
  <w:num w:numId="18" w16cid:durableId="823620494">
    <w:abstractNumId w:val="2"/>
  </w:num>
  <w:num w:numId="19" w16cid:durableId="2107338375">
    <w:abstractNumId w:val="14"/>
  </w:num>
  <w:num w:numId="20" w16cid:durableId="644748987">
    <w:abstractNumId w:val="5"/>
  </w:num>
  <w:num w:numId="21" w16cid:durableId="90128320">
    <w:abstractNumId w:val="8"/>
  </w:num>
  <w:num w:numId="22" w16cid:durableId="1207795291">
    <w:abstractNumId w:val="22"/>
  </w:num>
  <w:num w:numId="23" w16cid:durableId="5181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21635"/>
    <w:rsid w:val="000252E6"/>
    <w:rsid w:val="00025AA0"/>
    <w:rsid w:val="000526B5"/>
    <w:rsid w:val="0006478B"/>
    <w:rsid w:val="00087D56"/>
    <w:rsid w:val="000A6BC9"/>
    <w:rsid w:val="000B0458"/>
    <w:rsid w:val="000B0495"/>
    <w:rsid w:val="000D03DE"/>
    <w:rsid w:val="000E5BD7"/>
    <w:rsid w:val="000E60D9"/>
    <w:rsid w:val="000F4725"/>
    <w:rsid w:val="000F6451"/>
    <w:rsid w:val="00111D8C"/>
    <w:rsid w:val="00112A65"/>
    <w:rsid w:val="00112DF9"/>
    <w:rsid w:val="00115339"/>
    <w:rsid w:val="0012241C"/>
    <w:rsid w:val="00130011"/>
    <w:rsid w:val="00135476"/>
    <w:rsid w:val="00137F22"/>
    <w:rsid w:val="00140C27"/>
    <w:rsid w:val="00152020"/>
    <w:rsid w:val="001524D3"/>
    <w:rsid w:val="001638BC"/>
    <w:rsid w:val="00163E60"/>
    <w:rsid w:val="00163FEA"/>
    <w:rsid w:val="001647E0"/>
    <w:rsid w:val="00196A85"/>
    <w:rsid w:val="001A4644"/>
    <w:rsid w:val="001A4CD2"/>
    <w:rsid w:val="001A6BF2"/>
    <w:rsid w:val="001A6F2B"/>
    <w:rsid w:val="001D54B1"/>
    <w:rsid w:val="001D6848"/>
    <w:rsid w:val="001F28D2"/>
    <w:rsid w:val="001F595D"/>
    <w:rsid w:val="00212C3D"/>
    <w:rsid w:val="00221B02"/>
    <w:rsid w:val="00267BE6"/>
    <w:rsid w:val="00281604"/>
    <w:rsid w:val="00286AE4"/>
    <w:rsid w:val="00292F76"/>
    <w:rsid w:val="00296664"/>
    <w:rsid w:val="002969EA"/>
    <w:rsid w:val="002B16F3"/>
    <w:rsid w:val="002B1D9E"/>
    <w:rsid w:val="002B30F6"/>
    <w:rsid w:val="002B54DD"/>
    <w:rsid w:val="002B7C2D"/>
    <w:rsid w:val="002D65E2"/>
    <w:rsid w:val="002D7B9D"/>
    <w:rsid w:val="002E2D22"/>
    <w:rsid w:val="003005FE"/>
    <w:rsid w:val="003007B5"/>
    <w:rsid w:val="00305E39"/>
    <w:rsid w:val="003105EB"/>
    <w:rsid w:val="00312D13"/>
    <w:rsid w:val="00315F22"/>
    <w:rsid w:val="003201C2"/>
    <w:rsid w:val="003273F2"/>
    <w:rsid w:val="003343DB"/>
    <w:rsid w:val="00336ECB"/>
    <w:rsid w:val="00344124"/>
    <w:rsid w:val="00344E3B"/>
    <w:rsid w:val="00344F43"/>
    <w:rsid w:val="00352105"/>
    <w:rsid w:val="00356E15"/>
    <w:rsid w:val="0037204C"/>
    <w:rsid w:val="00383EE4"/>
    <w:rsid w:val="003A259F"/>
    <w:rsid w:val="003C2781"/>
    <w:rsid w:val="003D5577"/>
    <w:rsid w:val="003D7C0A"/>
    <w:rsid w:val="003E5A84"/>
    <w:rsid w:val="003E681E"/>
    <w:rsid w:val="003E6FBD"/>
    <w:rsid w:val="003F21C0"/>
    <w:rsid w:val="003F78C9"/>
    <w:rsid w:val="004113E7"/>
    <w:rsid w:val="004117B4"/>
    <w:rsid w:val="00431020"/>
    <w:rsid w:val="00434777"/>
    <w:rsid w:val="00434FCF"/>
    <w:rsid w:val="00435DFD"/>
    <w:rsid w:val="004600CE"/>
    <w:rsid w:val="004656C5"/>
    <w:rsid w:val="00465A22"/>
    <w:rsid w:val="004821F1"/>
    <w:rsid w:val="00483138"/>
    <w:rsid w:val="00492AF1"/>
    <w:rsid w:val="004A021B"/>
    <w:rsid w:val="004A0281"/>
    <w:rsid w:val="004A4F41"/>
    <w:rsid w:val="004C0C5C"/>
    <w:rsid w:val="004D76BF"/>
    <w:rsid w:val="004E1873"/>
    <w:rsid w:val="004F5F69"/>
    <w:rsid w:val="00506FDA"/>
    <w:rsid w:val="005124BE"/>
    <w:rsid w:val="00516836"/>
    <w:rsid w:val="00525441"/>
    <w:rsid w:val="00542F1E"/>
    <w:rsid w:val="0054642B"/>
    <w:rsid w:val="00546728"/>
    <w:rsid w:val="00557E3F"/>
    <w:rsid w:val="005611CA"/>
    <w:rsid w:val="00563FE9"/>
    <w:rsid w:val="005974CA"/>
    <w:rsid w:val="005A0C45"/>
    <w:rsid w:val="005A1DC3"/>
    <w:rsid w:val="005A3C59"/>
    <w:rsid w:val="005C4174"/>
    <w:rsid w:val="005D14DB"/>
    <w:rsid w:val="005D328C"/>
    <w:rsid w:val="005E4595"/>
    <w:rsid w:val="005E4666"/>
    <w:rsid w:val="005F0042"/>
    <w:rsid w:val="00635C1E"/>
    <w:rsid w:val="00642D33"/>
    <w:rsid w:val="00644490"/>
    <w:rsid w:val="00647A53"/>
    <w:rsid w:val="0067799A"/>
    <w:rsid w:val="00693900"/>
    <w:rsid w:val="00694C35"/>
    <w:rsid w:val="006B7FDC"/>
    <w:rsid w:val="006C02D5"/>
    <w:rsid w:val="006C1D8A"/>
    <w:rsid w:val="006D12EC"/>
    <w:rsid w:val="006D4DA2"/>
    <w:rsid w:val="006F719D"/>
    <w:rsid w:val="00700F56"/>
    <w:rsid w:val="00706E13"/>
    <w:rsid w:val="00706F0B"/>
    <w:rsid w:val="00716625"/>
    <w:rsid w:val="00723C06"/>
    <w:rsid w:val="00727551"/>
    <w:rsid w:val="00752957"/>
    <w:rsid w:val="00757C3E"/>
    <w:rsid w:val="00762444"/>
    <w:rsid w:val="007663D8"/>
    <w:rsid w:val="00774FE9"/>
    <w:rsid w:val="00777EF7"/>
    <w:rsid w:val="00781E77"/>
    <w:rsid w:val="00797C09"/>
    <w:rsid w:val="007B25E4"/>
    <w:rsid w:val="007D19BB"/>
    <w:rsid w:val="007D450E"/>
    <w:rsid w:val="007D567C"/>
    <w:rsid w:val="007F605D"/>
    <w:rsid w:val="00814914"/>
    <w:rsid w:val="008217C6"/>
    <w:rsid w:val="00825FCE"/>
    <w:rsid w:val="008273EC"/>
    <w:rsid w:val="00841EBA"/>
    <w:rsid w:val="00843140"/>
    <w:rsid w:val="008465B9"/>
    <w:rsid w:val="008533BA"/>
    <w:rsid w:val="00857122"/>
    <w:rsid w:val="00870C68"/>
    <w:rsid w:val="00872411"/>
    <w:rsid w:val="008851EC"/>
    <w:rsid w:val="00894091"/>
    <w:rsid w:val="008964DA"/>
    <w:rsid w:val="008B4A64"/>
    <w:rsid w:val="008C17C8"/>
    <w:rsid w:val="008C650F"/>
    <w:rsid w:val="008D2A99"/>
    <w:rsid w:val="008D3903"/>
    <w:rsid w:val="008D6FB2"/>
    <w:rsid w:val="008E4243"/>
    <w:rsid w:val="008E557E"/>
    <w:rsid w:val="008E589D"/>
    <w:rsid w:val="008E68D4"/>
    <w:rsid w:val="008E6B11"/>
    <w:rsid w:val="008F1399"/>
    <w:rsid w:val="008F7198"/>
    <w:rsid w:val="0091531F"/>
    <w:rsid w:val="00916E8D"/>
    <w:rsid w:val="00937B11"/>
    <w:rsid w:val="009619F9"/>
    <w:rsid w:val="00965C39"/>
    <w:rsid w:val="009719BC"/>
    <w:rsid w:val="0097250B"/>
    <w:rsid w:val="009861F8"/>
    <w:rsid w:val="00987CE3"/>
    <w:rsid w:val="009907B6"/>
    <w:rsid w:val="009978D7"/>
    <w:rsid w:val="009A6B86"/>
    <w:rsid w:val="009A7752"/>
    <w:rsid w:val="009C707F"/>
    <w:rsid w:val="009D0372"/>
    <w:rsid w:val="009D231D"/>
    <w:rsid w:val="009D6A08"/>
    <w:rsid w:val="009D6E94"/>
    <w:rsid w:val="009F56F5"/>
    <w:rsid w:val="009F6B6A"/>
    <w:rsid w:val="00A0194B"/>
    <w:rsid w:val="00A0508F"/>
    <w:rsid w:val="00A22390"/>
    <w:rsid w:val="00A22F87"/>
    <w:rsid w:val="00A342F7"/>
    <w:rsid w:val="00A36646"/>
    <w:rsid w:val="00A4372C"/>
    <w:rsid w:val="00A449E9"/>
    <w:rsid w:val="00A47191"/>
    <w:rsid w:val="00A54B69"/>
    <w:rsid w:val="00A71742"/>
    <w:rsid w:val="00A74BA9"/>
    <w:rsid w:val="00A938A7"/>
    <w:rsid w:val="00AA73E3"/>
    <w:rsid w:val="00AA7AC1"/>
    <w:rsid w:val="00AB1EFC"/>
    <w:rsid w:val="00AB3D05"/>
    <w:rsid w:val="00AC068F"/>
    <w:rsid w:val="00AC0748"/>
    <w:rsid w:val="00AD56AC"/>
    <w:rsid w:val="00AD6947"/>
    <w:rsid w:val="00AD78AF"/>
    <w:rsid w:val="00AE1270"/>
    <w:rsid w:val="00B0435E"/>
    <w:rsid w:val="00B155DC"/>
    <w:rsid w:val="00B20A88"/>
    <w:rsid w:val="00B33260"/>
    <w:rsid w:val="00B42A2B"/>
    <w:rsid w:val="00B45F81"/>
    <w:rsid w:val="00B52B37"/>
    <w:rsid w:val="00B65686"/>
    <w:rsid w:val="00B65D82"/>
    <w:rsid w:val="00B846B3"/>
    <w:rsid w:val="00B9029A"/>
    <w:rsid w:val="00BA43E6"/>
    <w:rsid w:val="00BA7F40"/>
    <w:rsid w:val="00BB1E28"/>
    <w:rsid w:val="00BB5E7E"/>
    <w:rsid w:val="00BC7617"/>
    <w:rsid w:val="00BE0C33"/>
    <w:rsid w:val="00BF69B6"/>
    <w:rsid w:val="00C05A08"/>
    <w:rsid w:val="00C1510B"/>
    <w:rsid w:val="00C17103"/>
    <w:rsid w:val="00C430FB"/>
    <w:rsid w:val="00C46723"/>
    <w:rsid w:val="00C51273"/>
    <w:rsid w:val="00C6091A"/>
    <w:rsid w:val="00C60E15"/>
    <w:rsid w:val="00C6246C"/>
    <w:rsid w:val="00C65066"/>
    <w:rsid w:val="00C7323D"/>
    <w:rsid w:val="00C86AF8"/>
    <w:rsid w:val="00CA4AE8"/>
    <w:rsid w:val="00CC0754"/>
    <w:rsid w:val="00CC130D"/>
    <w:rsid w:val="00CD513B"/>
    <w:rsid w:val="00CE3791"/>
    <w:rsid w:val="00CF1225"/>
    <w:rsid w:val="00D00554"/>
    <w:rsid w:val="00D05209"/>
    <w:rsid w:val="00D2153A"/>
    <w:rsid w:val="00D21B7C"/>
    <w:rsid w:val="00D24E28"/>
    <w:rsid w:val="00D311C8"/>
    <w:rsid w:val="00D436E6"/>
    <w:rsid w:val="00D438E4"/>
    <w:rsid w:val="00D5057E"/>
    <w:rsid w:val="00D63B01"/>
    <w:rsid w:val="00D71CE4"/>
    <w:rsid w:val="00D71D3D"/>
    <w:rsid w:val="00D81802"/>
    <w:rsid w:val="00D85AF9"/>
    <w:rsid w:val="00D95CA0"/>
    <w:rsid w:val="00DA2192"/>
    <w:rsid w:val="00DC3D51"/>
    <w:rsid w:val="00DC4679"/>
    <w:rsid w:val="00DC4CD3"/>
    <w:rsid w:val="00DD4CA9"/>
    <w:rsid w:val="00DD6698"/>
    <w:rsid w:val="00DE5C1E"/>
    <w:rsid w:val="00DF10AE"/>
    <w:rsid w:val="00DF7061"/>
    <w:rsid w:val="00E2769F"/>
    <w:rsid w:val="00E27DCB"/>
    <w:rsid w:val="00E3632C"/>
    <w:rsid w:val="00E37E3F"/>
    <w:rsid w:val="00E47E4C"/>
    <w:rsid w:val="00E50F60"/>
    <w:rsid w:val="00E60BA3"/>
    <w:rsid w:val="00E656C2"/>
    <w:rsid w:val="00E92319"/>
    <w:rsid w:val="00EA72C3"/>
    <w:rsid w:val="00EC30DA"/>
    <w:rsid w:val="00EE1C44"/>
    <w:rsid w:val="00EE6286"/>
    <w:rsid w:val="00EE68BD"/>
    <w:rsid w:val="00F14182"/>
    <w:rsid w:val="00F24D35"/>
    <w:rsid w:val="00F25F5E"/>
    <w:rsid w:val="00F34631"/>
    <w:rsid w:val="00F428B3"/>
    <w:rsid w:val="00F44866"/>
    <w:rsid w:val="00F45407"/>
    <w:rsid w:val="00F7335D"/>
    <w:rsid w:val="00F8197B"/>
    <w:rsid w:val="00FA09A9"/>
    <w:rsid w:val="00FA2D00"/>
    <w:rsid w:val="00FB19AC"/>
    <w:rsid w:val="00FC2BFA"/>
    <w:rsid w:val="00FC4ECE"/>
    <w:rsid w:val="00FE5383"/>
    <w:rsid w:val="00FF0113"/>
    <w:rsid w:val="00FF420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4"/>
  </w:style>
  <w:style w:type="paragraph" w:styleId="Footer">
    <w:name w:val="footer"/>
    <w:basedOn w:val="Normal"/>
    <w:link w:val="FooterChar"/>
    <w:uiPriority w:val="99"/>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1254</Words>
  <Characters>8406</Characters>
  <Application>Microsoft Office Word</Application>
  <DocSecurity>0</DocSecurity>
  <Lines>116</Lines>
  <Paragraphs>24</Paragraphs>
  <ScaleCrop>false</ScaleCrop>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20</cp:revision>
  <dcterms:created xsi:type="dcterms:W3CDTF">2026-05-06T17:35:00Z</dcterms:created>
  <dcterms:modified xsi:type="dcterms:W3CDTF">2026-05-08T05:40:00Z</dcterms:modified>
</cp:coreProperties>
</file>