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CB4B" w14:textId="77777777" w:rsidR="00DC4679" w:rsidRPr="00DC4679" w:rsidRDefault="00DC4679" w:rsidP="00DC4679">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DC4679">
        <w:rPr>
          <w:rFonts w:ascii="Maiandra GD" w:hAnsi="Maiandra GD" w:cs="Tahoma"/>
          <w:b/>
          <w:color w:val="1E4A79"/>
          <w:spacing w:val="5"/>
          <w:sz w:val="28"/>
          <w:szCs w:val="28"/>
          <w14:ligatures w14:val="none"/>
        </w:rPr>
        <w:t>SESSION CONCEPT NOTE V</w:t>
      </w:r>
    </w:p>
    <w:p w14:paraId="5103F900" w14:textId="77777777" w:rsidR="00DC4679" w:rsidRPr="00CE6B74" w:rsidRDefault="00DC4679" w:rsidP="00DC4679">
      <w:pPr>
        <w:pStyle w:val="Subtitle"/>
        <w:jc w:val="center"/>
        <w:rPr>
          <w:rFonts w:ascii="Maiandra GD" w:hAnsi="Maiandra GD"/>
          <w:szCs w:val="22"/>
        </w:rPr>
      </w:pPr>
      <w:r>
        <w:rPr>
          <w:rFonts w:ascii="Maiandra GD" w:hAnsi="Maiandra GD"/>
          <w:szCs w:val="22"/>
        </w:rPr>
        <w:t>Panel V</w:t>
      </w:r>
      <w:r w:rsidRPr="00CE6B74">
        <w:rPr>
          <w:rFonts w:ascii="Maiandra GD" w:hAnsi="Maiandra GD"/>
          <w:szCs w:val="22"/>
        </w:rPr>
        <w:t xml:space="preserve"> for the 1st National Qualifications Conference 2026</w:t>
      </w:r>
    </w:p>
    <w:tbl>
      <w:tblPr>
        <w:tblStyle w:val="TableGrid"/>
        <w:tblW w:w="0" w:type="auto"/>
        <w:jc w:val="center"/>
        <w:tblLook w:val="04A0" w:firstRow="1" w:lastRow="0" w:firstColumn="1" w:lastColumn="0" w:noHBand="0" w:noVBand="1"/>
      </w:tblPr>
      <w:tblGrid>
        <w:gridCol w:w="2155"/>
        <w:gridCol w:w="7728"/>
      </w:tblGrid>
      <w:tr w:rsidR="00DC4679" w:rsidRPr="00CE6B74" w14:paraId="55D40269" w14:textId="77777777" w:rsidTr="00916E8D">
        <w:trPr>
          <w:jc w:val="center"/>
        </w:trPr>
        <w:tc>
          <w:tcPr>
            <w:tcW w:w="2155" w:type="dxa"/>
            <w:shd w:val="clear" w:color="auto" w:fill="D9E7F5"/>
            <w:tcMar>
              <w:top w:w="80" w:type="dxa"/>
              <w:left w:w="120" w:type="dxa"/>
              <w:bottom w:w="80" w:type="dxa"/>
              <w:right w:w="120" w:type="dxa"/>
            </w:tcMar>
            <w:vAlign w:val="center"/>
          </w:tcPr>
          <w:p w14:paraId="20745F7A" w14:textId="77777777" w:rsidR="00DC4679" w:rsidRPr="00CE6B74" w:rsidRDefault="00DC4679" w:rsidP="000F369C">
            <w:pPr>
              <w:spacing w:line="360" w:lineRule="auto"/>
              <w:jc w:val="both"/>
              <w:rPr>
                <w:rFonts w:ascii="Maiandra GD" w:hAnsi="Maiandra GD"/>
              </w:rPr>
            </w:pPr>
            <w:r w:rsidRPr="00CE6B74">
              <w:rPr>
                <w:rFonts w:ascii="Maiandra GD" w:hAnsi="Maiandra GD"/>
                <w:b/>
              </w:rPr>
              <w:t>Session title</w:t>
            </w:r>
          </w:p>
        </w:tc>
        <w:tc>
          <w:tcPr>
            <w:tcW w:w="7728" w:type="dxa"/>
            <w:tcMar>
              <w:top w:w="80" w:type="dxa"/>
              <w:left w:w="120" w:type="dxa"/>
              <w:bottom w:w="80" w:type="dxa"/>
              <w:right w:w="120" w:type="dxa"/>
            </w:tcMar>
            <w:vAlign w:val="center"/>
          </w:tcPr>
          <w:p w14:paraId="2B7F8312" w14:textId="77777777" w:rsidR="00DC4679" w:rsidRPr="00CE6B74" w:rsidRDefault="00DC4679" w:rsidP="000F369C">
            <w:pPr>
              <w:spacing w:line="360" w:lineRule="auto"/>
              <w:jc w:val="both"/>
              <w:rPr>
                <w:rFonts w:ascii="Maiandra GD" w:hAnsi="Maiandra GD"/>
              </w:rPr>
            </w:pPr>
            <w:r w:rsidRPr="00032A8D">
              <w:rPr>
                <w:rFonts w:ascii="Maiandra GD" w:hAnsi="Maiandra GD"/>
                <w:b/>
              </w:rPr>
              <w:t>Keynote Address 5:</w:t>
            </w:r>
            <w:r w:rsidRPr="00CE6B74">
              <w:rPr>
                <w:rFonts w:ascii="Maiandra GD" w:hAnsi="Maiandra GD"/>
                <w:bCs/>
              </w:rPr>
              <w:t xml:space="preserve"> Designing Future-Ready Qualifications: Competency-Based Systems and Emerging Skills for National Growth</w:t>
            </w:r>
          </w:p>
        </w:tc>
      </w:tr>
      <w:tr w:rsidR="00DC4679" w:rsidRPr="00CE6B74" w14:paraId="48BEDB47" w14:textId="77777777" w:rsidTr="00916E8D">
        <w:trPr>
          <w:jc w:val="center"/>
        </w:trPr>
        <w:tc>
          <w:tcPr>
            <w:tcW w:w="2155" w:type="dxa"/>
            <w:shd w:val="clear" w:color="auto" w:fill="D9E7F5"/>
            <w:tcMar>
              <w:top w:w="80" w:type="dxa"/>
              <w:left w:w="120" w:type="dxa"/>
              <w:bottom w:w="80" w:type="dxa"/>
              <w:right w:w="120" w:type="dxa"/>
            </w:tcMar>
            <w:vAlign w:val="center"/>
          </w:tcPr>
          <w:p w14:paraId="416D4AD0" w14:textId="77777777" w:rsidR="00DC4679" w:rsidRPr="00CE6B74" w:rsidRDefault="00DC4679" w:rsidP="000F369C">
            <w:pPr>
              <w:spacing w:line="360" w:lineRule="auto"/>
              <w:jc w:val="both"/>
              <w:rPr>
                <w:rFonts w:ascii="Maiandra GD" w:hAnsi="Maiandra GD"/>
              </w:rPr>
            </w:pPr>
            <w:r w:rsidRPr="00CE6B74">
              <w:rPr>
                <w:rFonts w:ascii="Maiandra GD" w:hAnsi="Maiandra GD"/>
                <w:b/>
              </w:rPr>
              <w:t>Proposed duration</w:t>
            </w:r>
          </w:p>
        </w:tc>
        <w:tc>
          <w:tcPr>
            <w:tcW w:w="7728" w:type="dxa"/>
            <w:tcMar>
              <w:top w:w="80" w:type="dxa"/>
              <w:left w:w="120" w:type="dxa"/>
              <w:bottom w:w="80" w:type="dxa"/>
              <w:right w:w="120" w:type="dxa"/>
            </w:tcMar>
            <w:vAlign w:val="center"/>
          </w:tcPr>
          <w:p w14:paraId="18DBF125" w14:textId="25394792" w:rsidR="00DC4679" w:rsidRPr="00CE6B74" w:rsidRDefault="00AD2ADE" w:rsidP="000F369C">
            <w:pPr>
              <w:spacing w:line="360" w:lineRule="auto"/>
              <w:jc w:val="both"/>
              <w:rPr>
                <w:rFonts w:ascii="Maiandra GD" w:hAnsi="Maiandra GD"/>
              </w:rPr>
            </w:pPr>
            <w:r w:rsidRPr="00FF5FD3">
              <w:rPr>
                <w:rFonts w:ascii="Maiandra GD" w:hAnsi="Maiandra GD"/>
                <w:b/>
              </w:rPr>
              <w:t>6</w:t>
            </w:r>
            <w:r w:rsidR="00DC4679" w:rsidRPr="00FF5FD3">
              <w:rPr>
                <w:rFonts w:ascii="Maiandra GD" w:hAnsi="Maiandra GD"/>
                <w:b/>
              </w:rPr>
              <w:t>0</w:t>
            </w:r>
            <w:r w:rsidR="00DC4679" w:rsidRPr="00CE6B74">
              <w:rPr>
                <w:rFonts w:ascii="Maiandra GD" w:hAnsi="Maiandra GD"/>
                <w:bCs/>
              </w:rPr>
              <w:t xml:space="preserve"> minutes</w:t>
            </w:r>
            <w:r w:rsidR="00FF5FD3">
              <w:rPr>
                <w:rFonts w:ascii="Maiandra GD" w:hAnsi="Maiandra GD"/>
                <w:bCs/>
              </w:rPr>
              <w:t xml:space="preserve"> [</w:t>
            </w:r>
            <w:r w:rsidR="00FF5FD3" w:rsidRPr="00FF5FD3">
              <w:rPr>
                <w:rFonts w:ascii="Maiandra GD" w:hAnsi="Maiandra GD"/>
                <w:b/>
              </w:rPr>
              <w:t xml:space="preserve">1 </w:t>
            </w:r>
            <w:r w:rsidR="00FF5FD3">
              <w:rPr>
                <w:rFonts w:ascii="Maiandra GD" w:hAnsi="Maiandra GD"/>
                <w:bCs/>
              </w:rPr>
              <w:t>Hour]</w:t>
            </w:r>
          </w:p>
        </w:tc>
      </w:tr>
      <w:tr w:rsidR="00DC4679" w:rsidRPr="00CE6B74" w14:paraId="0C0408C3" w14:textId="77777777" w:rsidTr="00916E8D">
        <w:trPr>
          <w:jc w:val="center"/>
        </w:trPr>
        <w:tc>
          <w:tcPr>
            <w:tcW w:w="2155" w:type="dxa"/>
            <w:shd w:val="clear" w:color="auto" w:fill="D9E7F5"/>
            <w:tcMar>
              <w:top w:w="80" w:type="dxa"/>
              <w:left w:w="120" w:type="dxa"/>
              <w:bottom w:w="80" w:type="dxa"/>
              <w:right w:w="120" w:type="dxa"/>
            </w:tcMar>
            <w:vAlign w:val="center"/>
          </w:tcPr>
          <w:p w14:paraId="5CEF0D88" w14:textId="77777777" w:rsidR="00DC4679" w:rsidRPr="00CE6B74" w:rsidRDefault="00DC4679" w:rsidP="000F369C">
            <w:pPr>
              <w:spacing w:line="360" w:lineRule="auto"/>
              <w:jc w:val="both"/>
              <w:rPr>
                <w:rFonts w:ascii="Maiandra GD" w:hAnsi="Maiandra GD"/>
              </w:rPr>
            </w:pPr>
            <w:r w:rsidRPr="00CE6B74">
              <w:rPr>
                <w:rFonts w:ascii="Maiandra GD" w:hAnsi="Maiandra GD"/>
                <w:b/>
              </w:rPr>
              <w:t>Format</w:t>
            </w:r>
          </w:p>
        </w:tc>
        <w:tc>
          <w:tcPr>
            <w:tcW w:w="7728" w:type="dxa"/>
            <w:tcMar>
              <w:top w:w="80" w:type="dxa"/>
              <w:left w:w="120" w:type="dxa"/>
              <w:bottom w:w="80" w:type="dxa"/>
              <w:right w:w="120" w:type="dxa"/>
            </w:tcMar>
            <w:vAlign w:val="center"/>
          </w:tcPr>
          <w:p w14:paraId="59E6F2F8" w14:textId="77777777" w:rsidR="00DC4679" w:rsidRPr="00CE6B74" w:rsidRDefault="00DC4679" w:rsidP="000F369C">
            <w:pPr>
              <w:spacing w:line="360" w:lineRule="auto"/>
              <w:jc w:val="both"/>
              <w:rPr>
                <w:rFonts w:ascii="Maiandra GD" w:hAnsi="Maiandra GD"/>
              </w:rPr>
            </w:pPr>
            <w:r w:rsidRPr="00CE6B74">
              <w:rPr>
                <w:rFonts w:ascii="Maiandra GD" w:hAnsi="Maiandra GD"/>
                <w:bCs/>
              </w:rPr>
              <w:t>High-level keynote presentation followed by moderated panel reflections</w:t>
            </w:r>
          </w:p>
        </w:tc>
      </w:tr>
    </w:tbl>
    <w:p w14:paraId="11D0CD33" w14:textId="77777777" w:rsidR="00DC4679" w:rsidRPr="00CE6B74" w:rsidRDefault="00DC4679" w:rsidP="00DC4679">
      <w:pPr>
        <w:spacing w:after="40" w:line="360" w:lineRule="auto"/>
        <w:jc w:val="both"/>
        <w:rPr>
          <w:rFonts w:ascii="Maiandra GD" w:hAnsi="Maiandra GD"/>
          <w:sz w:val="22"/>
        </w:rPr>
      </w:pPr>
    </w:p>
    <w:p w14:paraId="125CE563" w14:textId="77777777"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cs="Tahoma"/>
          <w:b/>
          <w:bCs/>
          <w:sz w:val="22"/>
          <w:szCs w:val="22"/>
        </w:rPr>
        <w:t>Background</w:t>
      </w:r>
      <w:r w:rsidRPr="009E27C4">
        <w:rPr>
          <w:rFonts w:ascii="Maiandra GD" w:hAnsi="Maiandra GD"/>
          <w:b/>
          <w:bCs/>
          <w:sz w:val="22"/>
          <w:szCs w:val="22"/>
        </w:rPr>
        <w:t xml:space="preserve"> and Rationale</w:t>
      </w:r>
    </w:p>
    <w:p w14:paraId="10D8C1DD"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The world of work is changing at a pace that many qualifications systems were not originally designed to match. Digital transformation, artificial intelligence, the green transition, demographic shifts, and changing production systems are altering the skills that economies need and the way work is organized. The World Economic Forum reports that, on average, 39% of workers’ existing skills are expected to change or become outdated between 2025 and 2030, underscoring the urgency for qualifications systems to become more responsive, adaptive, and future-facing.</w:t>
      </w:r>
    </w:p>
    <w:p w14:paraId="6691E5EB"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In this context, qualifications can no longer be viewed only as instruments for certifying completion of study. They must increasingly serve as trusted signals of competence, relevance, and readiness for work. Competency-based systems provide an important pathway for this shift by focusing on demonstrable learning outcomes, practical performance, and labour-market relevance. The ILO notes that competency-based training is designed to ensure that programmes remain responsive to current labour market needs and that assessment reflects the knowledge, skills, and attitudes required for occupational performance.</w:t>
      </w:r>
    </w:p>
    <w:p w14:paraId="062E4FC7"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At the same time, the rise of emerging skills is reshaping what qualifications need to contain. Skills linked to AI, digitalization, green growth, technological literacy, analytical thinking, creativity, resilience, and lifelong learning are becoming increasingly important across sectors. For Africa, this challenge is especially significant, as qualifications systems must support a young and growing population, improve employability, strengthen productivity, enable mobility, and respond to continental aspirations for transformation and competitiveness. The ACQF places strong emphasis on learning outcomes, recognition, comparability, lifelong learning, and future-oriented skills development, including digital and green capabilities.</w:t>
      </w:r>
    </w:p>
    <w:p w14:paraId="6A8104CB" w14:textId="77777777" w:rsidR="00D05209" w:rsidRDefault="00DC4679" w:rsidP="00DC4679">
      <w:pPr>
        <w:spacing w:line="360" w:lineRule="auto"/>
        <w:jc w:val="both"/>
        <w:rPr>
          <w:rFonts w:ascii="Maiandra GD" w:hAnsi="Maiandra GD"/>
          <w:sz w:val="22"/>
        </w:rPr>
      </w:pPr>
      <w:r w:rsidRPr="00CE6B74">
        <w:rPr>
          <w:rFonts w:ascii="Maiandra GD" w:hAnsi="Maiandra GD"/>
          <w:sz w:val="22"/>
        </w:rPr>
        <w:t xml:space="preserve">For Kenya, this conversation is both timely and strategic. The Kenya National Qualifications Framework (KNQF) strengthens an outcomes-based approach by making KNQF level descriptors the national benchmark against which qualifications and their learning outcomes are aligned. </w:t>
      </w:r>
    </w:p>
    <w:p w14:paraId="425675C9" w14:textId="77777777" w:rsidR="00D05209" w:rsidRDefault="00D05209">
      <w:pPr>
        <w:rPr>
          <w:rFonts w:ascii="Maiandra GD" w:hAnsi="Maiandra GD"/>
          <w:sz w:val="22"/>
        </w:rPr>
      </w:pPr>
      <w:r>
        <w:rPr>
          <w:rFonts w:ascii="Maiandra GD" w:hAnsi="Maiandra GD"/>
          <w:sz w:val="22"/>
        </w:rPr>
        <w:br w:type="page"/>
      </w:r>
    </w:p>
    <w:p w14:paraId="39B72BE2" w14:textId="72A1C02D" w:rsidR="00DC4679" w:rsidRPr="00CE6B74" w:rsidRDefault="00DC4679" w:rsidP="00DC4679">
      <w:pPr>
        <w:spacing w:line="360" w:lineRule="auto"/>
        <w:jc w:val="both"/>
        <w:rPr>
          <w:rFonts w:ascii="Maiandra GD" w:hAnsi="Maiandra GD"/>
          <w:sz w:val="22"/>
        </w:rPr>
      </w:pPr>
      <w:r w:rsidRPr="00CE6B74">
        <w:rPr>
          <w:rFonts w:ascii="Maiandra GD" w:hAnsi="Maiandra GD"/>
          <w:sz w:val="22"/>
        </w:rPr>
        <w:lastRenderedPageBreak/>
        <w:t>It further provides for a national system for quality assurance, assessment, credit transfer and progression, recognition of prior learning, and the emerging recognition of micro-credentials within the broader qualifications ecosystem.</w:t>
      </w:r>
    </w:p>
    <w:p w14:paraId="431B457C" w14:textId="6BD391BE"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cs="Tahoma"/>
          <w:b/>
          <w:bCs/>
          <w:sz w:val="22"/>
          <w:szCs w:val="22"/>
        </w:rPr>
        <w:t>Session</w:t>
      </w:r>
      <w:r w:rsidRPr="009E27C4">
        <w:rPr>
          <w:rFonts w:ascii="Maiandra GD" w:hAnsi="Maiandra GD"/>
          <w:b/>
          <w:bCs/>
          <w:sz w:val="22"/>
          <w:szCs w:val="22"/>
        </w:rPr>
        <w:t xml:space="preserve"> Objective</w:t>
      </w:r>
    </w:p>
    <w:p w14:paraId="08456B5C"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To examine how future-ready qualifications can be designed through competency-based systems and the integration of emerging skills so as to strengthen human capital for productivity, employability, innovation, and national growth.</w:t>
      </w:r>
    </w:p>
    <w:p w14:paraId="6A345C92" w14:textId="2E8B12E5"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b/>
          <w:bCs/>
          <w:sz w:val="22"/>
          <w:szCs w:val="22"/>
        </w:rPr>
        <w:t xml:space="preserve">Session </w:t>
      </w:r>
      <w:r w:rsidRPr="009E27C4">
        <w:rPr>
          <w:rFonts w:ascii="Maiandra GD" w:hAnsi="Maiandra GD" w:cs="Tahoma"/>
          <w:b/>
          <w:bCs/>
          <w:sz w:val="22"/>
          <w:szCs w:val="22"/>
        </w:rPr>
        <w:t>Description</w:t>
      </w:r>
    </w:p>
    <w:p w14:paraId="75D0370F"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 xml:space="preserve">This keynote address will explore how qualifications systems can be deliberately designed to respond to the changing nature of work and the evolving skills needs of modern economies. It will make the case that future-ready qualifications must do more than certify academic achievement; they must reflect demonstrable competence, remain relevant to emerging labour market demands, and support continuous learning, adaptability, and workforce mobility. In this regard, the session will position qualifications not merely as education outcomes, but as strategic instruments for economic transformation and national development. </w:t>
      </w:r>
    </w:p>
    <w:p w14:paraId="4FDD3B7A"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 xml:space="preserve">The keynote will first speak to the significance of competency-based systems in strengthening the credibility and usefulness of qualifications. It will highlight the importance of clear learning outcomes, standards-based design, valid and reliable assessment, and stronger alignment between education, training, and the world of work. It will then examine the growing importance of emerging skills, including digital, AI-related, green, analytical, entrepreneurial, and adaptive capabilities, and the implications of these shifts for qualification design, curriculum review, assessment, and certification. </w:t>
      </w:r>
    </w:p>
    <w:p w14:paraId="753F8910" w14:textId="77777777" w:rsidR="00DC4679" w:rsidRPr="00CE6B74" w:rsidRDefault="00DC4679" w:rsidP="00DC4679">
      <w:pPr>
        <w:spacing w:line="360" w:lineRule="auto"/>
        <w:jc w:val="both"/>
        <w:rPr>
          <w:rFonts w:ascii="Maiandra GD" w:hAnsi="Maiandra GD"/>
          <w:sz w:val="22"/>
        </w:rPr>
      </w:pPr>
      <w:r w:rsidRPr="00CE6B74">
        <w:rPr>
          <w:rFonts w:ascii="Maiandra GD" w:hAnsi="Maiandra GD"/>
          <w:sz w:val="22"/>
        </w:rPr>
        <w:t xml:space="preserve">Bringing these two dimensions together, the session will demonstrate why competency-based systems and emerging skills must be treated as complementary pillars of future-ready qualifications. Competency-based systems make qualifications credible by ensuring that they represent real capability, while emerging skills make qualifications relevant by ensuring that they speak to current and future economic realities. The session will therefore invite reflection on how qualification design can better support employability, productivity, innovation, inclusion, and national competitiveness. It will also create space for perspectives from curriculum development, assessment bodies, training institutions, professional examination bodies, and universities on how a coherent qualifications system can better serve national growth. </w:t>
      </w:r>
    </w:p>
    <w:p w14:paraId="0D365D1E" w14:textId="77777777" w:rsidR="00D05209" w:rsidRDefault="00D05209">
      <w:pPr>
        <w:rPr>
          <w:rFonts w:ascii="Maiandra GD" w:eastAsiaTheme="majorEastAsia" w:hAnsi="Maiandra GD" w:cs="Tahoma"/>
          <w:color w:val="2F5496" w:themeColor="accent1" w:themeShade="BF"/>
          <w:sz w:val="22"/>
          <w:szCs w:val="22"/>
        </w:rPr>
      </w:pPr>
      <w:r>
        <w:rPr>
          <w:rFonts w:ascii="Maiandra GD" w:hAnsi="Maiandra GD" w:cs="Tahoma"/>
          <w:sz w:val="22"/>
          <w:szCs w:val="22"/>
        </w:rPr>
        <w:br w:type="page"/>
      </w:r>
    </w:p>
    <w:p w14:paraId="217A3189" w14:textId="09F1682E"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cs="Tahoma"/>
          <w:b/>
          <w:bCs/>
          <w:sz w:val="22"/>
          <w:szCs w:val="22"/>
        </w:rPr>
        <w:lastRenderedPageBreak/>
        <w:t>Expected</w:t>
      </w:r>
      <w:r w:rsidRPr="009E27C4">
        <w:rPr>
          <w:rFonts w:ascii="Maiandra GD" w:hAnsi="Maiandra GD"/>
          <w:b/>
          <w:bCs/>
          <w:sz w:val="22"/>
          <w:szCs w:val="22"/>
        </w:rPr>
        <w:t xml:space="preserve"> Session Outcomes</w:t>
      </w:r>
    </w:p>
    <w:p w14:paraId="67CB1F05" w14:textId="77777777" w:rsidR="00DC4679" w:rsidRPr="00902BCB" w:rsidRDefault="00DC4679" w:rsidP="00DC4679">
      <w:pPr>
        <w:pStyle w:val="ListBullet"/>
        <w:numPr>
          <w:ilvl w:val="0"/>
          <w:numId w:val="16"/>
        </w:numPr>
        <w:spacing w:line="360" w:lineRule="auto"/>
        <w:jc w:val="both"/>
        <w:rPr>
          <w:rFonts w:ascii="Maiandra GD" w:hAnsi="Maiandra GD"/>
          <w:sz w:val="22"/>
        </w:rPr>
      </w:pPr>
      <w:r w:rsidRPr="00902BCB">
        <w:rPr>
          <w:rFonts w:ascii="Maiandra GD" w:hAnsi="Maiandra GD"/>
          <w:sz w:val="22"/>
        </w:rPr>
        <w:t>A shared understanding of how qualifications can be deliberately designed to respond to evolving labour market needs and emerging skills, such as digital, green, entrepreneurial, analytical, and adaptive capabilities, while informing curriculum development, assessment, and certification for future readiness.</w:t>
      </w:r>
    </w:p>
    <w:p w14:paraId="7672033E" w14:textId="77777777" w:rsidR="00DC4679" w:rsidRPr="00902BCB" w:rsidRDefault="00DC4679" w:rsidP="00DC4679">
      <w:pPr>
        <w:pStyle w:val="ListBullet"/>
        <w:numPr>
          <w:ilvl w:val="0"/>
          <w:numId w:val="16"/>
        </w:numPr>
        <w:spacing w:line="360" w:lineRule="auto"/>
        <w:jc w:val="both"/>
        <w:rPr>
          <w:rFonts w:ascii="Maiandra GD" w:hAnsi="Maiandra GD"/>
          <w:sz w:val="22"/>
        </w:rPr>
      </w:pPr>
      <w:r w:rsidRPr="00902BCB">
        <w:rPr>
          <w:rFonts w:ascii="Maiandra GD" w:hAnsi="Maiandra GD"/>
          <w:sz w:val="22"/>
        </w:rPr>
        <w:t>Enhanced understanding of the role of competency-based systems in strengthening the credibility and relevance of qualifications, alongside practical insights from national institutions on aligning future-ready qualifications with employability, productivity, innovation, and national growth.</w:t>
      </w:r>
    </w:p>
    <w:p w14:paraId="0EF3481B" w14:textId="77777777" w:rsidR="00DC4679" w:rsidRDefault="00DC4679" w:rsidP="00DC4679">
      <w:pPr>
        <w:pStyle w:val="ListBullet"/>
        <w:numPr>
          <w:ilvl w:val="0"/>
          <w:numId w:val="16"/>
        </w:numPr>
        <w:spacing w:line="360" w:lineRule="auto"/>
        <w:jc w:val="both"/>
        <w:rPr>
          <w:rFonts w:ascii="Maiandra GD" w:hAnsi="Maiandra GD"/>
          <w:sz w:val="22"/>
        </w:rPr>
      </w:pPr>
      <w:r w:rsidRPr="00902BCB">
        <w:rPr>
          <w:rFonts w:ascii="Maiandra GD" w:hAnsi="Maiandra GD"/>
          <w:sz w:val="22"/>
        </w:rPr>
        <w:t>Recommendations for strengthening collaboration among curriculum developers, assessment bodies, training institutions, professional examination bodies, industry actors, and universities in designing qualifications that are responsive to the future of work.</w:t>
      </w:r>
    </w:p>
    <w:p w14:paraId="2621DA8C" w14:textId="77777777" w:rsidR="00DC4679" w:rsidRPr="00902BCB" w:rsidRDefault="00DC4679" w:rsidP="00DC4679">
      <w:pPr>
        <w:pStyle w:val="ListBullet"/>
        <w:numPr>
          <w:ilvl w:val="0"/>
          <w:numId w:val="0"/>
        </w:numPr>
        <w:spacing w:line="360" w:lineRule="auto"/>
        <w:ind w:left="360"/>
        <w:jc w:val="both"/>
        <w:rPr>
          <w:rFonts w:ascii="Maiandra GD" w:hAnsi="Maiandra GD"/>
          <w:sz w:val="22"/>
        </w:rPr>
      </w:pPr>
    </w:p>
    <w:p w14:paraId="7BCA032C" w14:textId="77777777"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cs="Tahoma"/>
          <w:b/>
          <w:bCs/>
          <w:sz w:val="22"/>
          <w:szCs w:val="22"/>
        </w:rPr>
        <w:t>Proposed</w:t>
      </w:r>
      <w:r w:rsidRPr="009E27C4">
        <w:rPr>
          <w:rFonts w:ascii="Maiandra GD" w:hAnsi="Maiandra GD"/>
          <w:b/>
          <w:bCs/>
          <w:sz w:val="22"/>
          <w:szCs w:val="22"/>
        </w:rPr>
        <w:t xml:space="preserve"> Session Structure</w:t>
      </w:r>
    </w:p>
    <w:tbl>
      <w:tblPr>
        <w:tblStyle w:val="TableGrid"/>
        <w:tblW w:w="9995" w:type="dxa"/>
        <w:jc w:val="center"/>
        <w:tblLook w:val="04A0" w:firstRow="1" w:lastRow="0" w:firstColumn="1" w:lastColumn="0" w:noHBand="0" w:noVBand="1"/>
      </w:tblPr>
      <w:tblGrid>
        <w:gridCol w:w="4954"/>
        <w:gridCol w:w="5041"/>
      </w:tblGrid>
      <w:tr w:rsidR="00DC4679" w:rsidRPr="00CE6B74" w14:paraId="64E45B6F" w14:textId="77777777" w:rsidTr="00D05209">
        <w:trPr>
          <w:jc w:val="center"/>
        </w:trPr>
        <w:tc>
          <w:tcPr>
            <w:tcW w:w="4954" w:type="dxa"/>
            <w:tcMar>
              <w:top w:w="80" w:type="dxa"/>
              <w:left w:w="120" w:type="dxa"/>
              <w:bottom w:w="80" w:type="dxa"/>
              <w:right w:w="120" w:type="dxa"/>
            </w:tcMar>
            <w:vAlign w:val="center"/>
          </w:tcPr>
          <w:p w14:paraId="0FE8B8C8" w14:textId="77777777" w:rsidR="00DC4679" w:rsidRPr="00CE6B74" w:rsidRDefault="00DC4679" w:rsidP="000F369C">
            <w:pPr>
              <w:spacing w:line="276" w:lineRule="auto"/>
              <w:jc w:val="both"/>
              <w:rPr>
                <w:rFonts w:ascii="Maiandra GD" w:hAnsi="Maiandra GD"/>
              </w:rPr>
            </w:pPr>
            <w:r w:rsidRPr="00CE6B74">
              <w:rPr>
                <w:rFonts w:ascii="Maiandra GD" w:hAnsi="Maiandra GD"/>
              </w:rPr>
              <w:t>Moderator framing</w:t>
            </w:r>
          </w:p>
        </w:tc>
        <w:tc>
          <w:tcPr>
            <w:tcW w:w="5041" w:type="dxa"/>
            <w:tcMar>
              <w:top w:w="80" w:type="dxa"/>
              <w:left w:w="120" w:type="dxa"/>
              <w:bottom w:w="80" w:type="dxa"/>
              <w:right w:w="120" w:type="dxa"/>
            </w:tcMar>
            <w:vAlign w:val="center"/>
          </w:tcPr>
          <w:p w14:paraId="6E0585A1" w14:textId="080F8A7B" w:rsidR="00DC4679" w:rsidRPr="00CE6B74" w:rsidRDefault="00617B89" w:rsidP="000F369C">
            <w:pPr>
              <w:spacing w:line="276" w:lineRule="auto"/>
              <w:jc w:val="both"/>
              <w:rPr>
                <w:rFonts w:ascii="Maiandra GD" w:hAnsi="Maiandra GD"/>
              </w:rPr>
            </w:pPr>
            <w:r>
              <w:rPr>
                <w:rFonts w:ascii="Maiandra GD" w:hAnsi="Maiandra GD"/>
                <w:b/>
                <w:bCs/>
              </w:rPr>
              <w:t>4</w:t>
            </w:r>
            <w:r w:rsidR="00DC4679" w:rsidRPr="00CE6B74">
              <w:rPr>
                <w:rFonts w:ascii="Maiandra GD" w:hAnsi="Maiandra GD"/>
                <w:b/>
                <w:bCs/>
              </w:rPr>
              <w:t xml:space="preserve"> minutes</w:t>
            </w:r>
          </w:p>
        </w:tc>
      </w:tr>
      <w:tr w:rsidR="00DC4679" w:rsidRPr="00CE6B74" w14:paraId="515C839E" w14:textId="77777777" w:rsidTr="00D05209">
        <w:trPr>
          <w:trHeight w:val="261"/>
          <w:jc w:val="center"/>
        </w:trPr>
        <w:tc>
          <w:tcPr>
            <w:tcW w:w="4954" w:type="dxa"/>
            <w:tcMar>
              <w:top w:w="80" w:type="dxa"/>
              <w:left w:w="120" w:type="dxa"/>
              <w:bottom w:w="80" w:type="dxa"/>
              <w:right w:w="120" w:type="dxa"/>
            </w:tcMar>
            <w:vAlign w:val="center"/>
          </w:tcPr>
          <w:p w14:paraId="2794AB89" w14:textId="77777777" w:rsidR="00DC4679" w:rsidRPr="00CE6B74" w:rsidRDefault="00DC4679" w:rsidP="000F369C">
            <w:pPr>
              <w:spacing w:line="276" w:lineRule="auto"/>
              <w:jc w:val="both"/>
              <w:rPr>
                <w:rFonts w:ascii="Maiandra GD" w:hAnsi="Maiandra GD"/>
              </w:rPr>
            </w:pPr>
            <w:r w:rsidRPr="00CE6B74">
              <w:rPr>
                <w:rFonts w:ascii="Maiandra GD" w:hAnsi="Maiandra GD"/>
              </w:rPr>
              <w:t>Keynote presentation</w:t>
            </w:r>
          </w:p>
        </w:tc>
        <w:tc>
          <w:tcPr>
            <w:tcW w:w="5041" w:type="dxa"/>
            <w:tcMar>
              <w:top w:w="80" w:type="dxa"/>
              <w:left w:w="120" w:type="dxa"/>
              <w:bottom w:w="80" w:type="dxa"/>
              <w:right w:w="120" w:type="dxa"/>
            </w:tcMar>
            <w:vAlign w:val="center"/>
          </w:tcPr>
          <w:p w14:paraId="0D856410" w14:textId="12BDD14D" w:rsidR="00DC4679" w:rsidRPr="00CE6B74" w:rsidRDefault="006D3F75" w:rsidP="000F369C">
            <w:pPr>
              <w:spacing w:line="276" w:lineRule="auto"/>
              <w:jc w:val="both"/>
              <w:rPr>
                <w:rFonts w:ascii="Maiandra GD" w:hAnsi="Maiandra GD"/>
              </w:rPr>
            </w:pPr>
            <w:r>
              <w:rPr>
                <w:rFonts w:ascii="Maiandra GD" w:hAnsi="Maiandra GD"/>
                <w:b/>
                <w:bCs/>
              </w:rPr>
              <w:t>6</w:t>
            </w:r>
            <w:r w:rsidR="00DC4679" w:rsidRPr="00CE6B74">
              <w:rPr>
                <w:rFonts w:ascii="Maiandra GD" w:hAnsi="Maiandra GD"/>
                <w:b/>
                <w:bCs/>
              </w:rPr>
              <w:t xml:space="preserve"> minutes</w:t>
            </w:r>
          </w:p>
        </w:tc>
      </w:tr>
      <w:tr w:rsidR="00DC4679" w:rsidRPr="00CE6B74" w14:paraId="05308A79" w14:textId="77777777" w:rsidTr="00D05209">
        <w:trPr>
          <w:jc w:val="center"/>
        </w:trPr>
        <w:tc>
          <w:tcPr>
            <w:tcW w:w="4954" w:type="dxa"/>
            <w:tcMar>
              <w:top w:w="80" w:type="dxa"/>
              <w:left w:w="120" w:type="dxa"/>
              <w:bottom w:w="80" w:type="dxa"/>
              <w:right w:w="120" w:type="dxa"/>
            </w:tcMar>
            <w:vAlign w:val="center"/>
          </w:tcPr>
          <w:p w14:paraId="65321B03" w14:textId="77777777" w:rsidR="00DC4679" w:rsidRPr="00CE6B74" w:rsidRDefault="00DC4679" w:rsidP="000F369C">
            <w:pPr>
              <w:spacing w:line="276" w:lineRule="auto"/>
              <w:jc w:val="both"/>
              <w:rPr>
                <w:rFonts w:ascii="Maiandra GD" w:hAnsi="Maiandra GD"/>
              </w:rPr>
            </w:pPr>
            <w:r w:rsidRPr="00CE6B74">
              <w:rPr>
                <w:rFonts w:ascii="Maiandra GD" w:hAnsi="Maiandra GD"/>
              </w:rPr>
              <w:t>Panelist interventions (5 panelists)</w:t>
            </w:r>
          </w:p>
        </w:tc>
        <w:tc>
          <w:tcPr>
            <w:tcW w:w="5041" w:type="dxa"/>
            <w:tcMar>
              <w:top w:w="80" w:type="dxa"/>
              <w:left w:w="120" w:type="dxa"/>
              <w:bottom w:w="80" w:type="dxa"/>
              <w:right w:w="120" w:type="dxa"/>
            </w:tcMar>
            <w:vAlign w:val="center"/>
          </w:tcPr>
          <w:p w14:paraId="4E434164" w14:textId="6C027E3F" w:rsidR="00DC4679" w:rsidRPr="00CE6B74" w:rsidRDefault="006D3F75" w:rsidP="000F369C">
            <w:pPr>
              <w:spacing w:line="276" w:lineRule="auto"/>
              <w:jc w:val="both"/>
              <w:rPr>
                <w:rFonts w:ascii="Maiandra GD" w:hAnsi="Maiandra GD"/>
              </w:rPr>
            </w:pPr>
            <w:r>
              <w:rPr>
                <w:rFonts w:ascii="Maiandra GD" w:hAnsi="Maiandra GD"/>
                <w:b/>
                <w:bCs/>
              </w:rPr>
              <w:t>25</w:t>
            </w:r>
            <w:r w:rsidR="00DC4679" w:rsidRPr="00CE6B74">
              <w:rPr>
                <w:rFonts w:ascii="Maiandra GD" w:hAnsi="Maiandra GD"/>
                <w:b/>
                <w:bCs/>
              </w:rPr>
              <w:t xml:space="preserve"> minutes</w:t>
            </w:r>
            <w:r w:rsidR="00FF5FD3">
              <w:rPr>
                <w:rFonts w:ascii="Maiandra GD" w:hAnsi="Maiandra GD"/>
                <w:b/>
                <w:bCs/>
              </w:rPr>
              <w:t xml:space="preserve"> [5 Minutes each]</w:t>
            </w:r>
          </w:p>
        </w:tc>
      </w:tr>
      <w:tr w:rsidR="00DC4679" w:rsidRPr="00CE6B74" w14:paraId="3C3F8280" w14:textId="77777777" w:rsidTr="00D05209">
        <w:trPr>
          <w:jc w:val="center"/>
        </w:trPr>
        <w:tc>
          <w:tcPr>
            <w:tcW w:w="4954" w:type="dxa"/>
            <w:tcMar>
              <w:top w:w="80" w:type="dxa"/>
              <w:left w:w="120" w:type="dxa"/>
              <w:bottom w:w="80" w:type="dxa"/>
              <w:right w:w="120" w:type="dxa"/>
            </w:tcMar>
            <w:vAlign w:val="center"/>
          </w:tcPr>
          <w:p w14:paraId="323D0213" w14:textId="77777777" w:rsidR="00DC4679" w:rsidRPr="00CE6B74" w:rsidRDefault="00DC4679" w:rsidP="000F369C">
            <w:pPr>
              <w:spacing w:line="276" w:lineRule="auto"/>
              <w:jc w:val="both"/>
              <w:rPr>
                <w:rFonts w:ascii="Maiandra GD" w:hAnsi="Maiandra GD"/>
              </w:rPr>
            </w:pPr>
            <w:r w:rsidRPr="00CE6B74">
              <w:rPr>
                <w:rFonts w:ascii="Maiandra GD" w:hAnsi="Maiandra GD"/>
              </w:rPr>
              <w:t>Moderated discussion &amp; Audience Q&amp;A</w:t>
            </w:r>
          </w:p>
        </w:tc>
        <w:tc>
          <w:tcPr>
            <w:tcW w:w="5041" w:type="dxa"/>
            <w:tcMar>
              <w:top w:w="80" w:type="dxa"/>
              <w:left w:w="120" w:type="dxa"/>
              <w:bottom w:w="80" w:type="dxa"/>
              <w:right w:w="120" w:type="dxa"/>
            </w:tcMar>
            <w:vAlign w:val="center"/>
          </w:tcPr>
          <w:p w14:paraId="69855CA1" w14:textId="2021B57E" w:rsidR="00DC4679" w:rsidRPr="00CE6B74" w:rsidRDefault="006D3F75" w:rsidP="000F369C">
            <w:pPr>
              <w:spacing w:line="276" w:lineRule="auto"/>
              <w:jc w:val="both"/>
              <w:rPr>
                <w:rFonts w:ascii="Maiandra GD" w:hAnsi="Maiandra GD"/>
              </w:rPr>
            </w:pPr>
            <w:r>
              <w:rPr>
                <w:rFonts w:ascii="Maiandra GD" w:hAnsi="Maiandra GD"/>
                <w:b/>
                <w:bCs/>
              </w:rPr>
              <w:t>20</w:t>
            </w:r>
            <w:r w:rsidR="00DC4679" w:rsidRPr="00CE6B74">
              <w:rPr>
                <w:rFonts w:ascii="Maiandra GD" w:hAnsi="Maiandra GD"/>
                <w:b/>
                <w:bCs/>
              </w:rPr>
              <w:t xml:space="preserve"> minutes</w:t>
            </w:r>
          </w:p>
        </w:tc>
      </w:tr>
      <w:tr w:rsidR="00DC4679" w:rsidRPr="00CE6B74" w14:paraId="2AADA78F" w14:textId="77777777" w:rsidTr="00D05209">
        <w:trPr>
          <w:trHeight w:val="279"/>
          <w:jc w:val="center"/>
        </w:trPr>
        <w:tc>
          <w:tcPr>
            <w:tcW w:w="4954" w:type="dxa"/>
            <w:tcMar>
              <w:top w:w="80" w:type="dxa"/>
              <w:left w:w="120" w:type="dxa"/>
              <w:bottom w:w="80" w:type="dxa"/>
              <w:right w:w="120" w:type="dxa"/>
            </w:tcMar>
            <w:vAlign w:val="center"/>
          </w:tcPr>
          <w:p w14:paraId="6B7E458F" w14:textId="77777777" w:rsidR="00DC4679" w:rsidRPr="00CE6B74" w:rsidRDefault="00DC4679" w:rsidP="000F369C">
            <w:pPr>
              <w:spacing w:line="276" w:lineRule="auto"/>
              <w:jc w:val="both"/>
              <w:rPr>
                <w:rFonts w:ascii="Maiandra GD" w:hAnsi="Maiandra GD"/>
              </w:rPr>
            </w:pPr>
            <w:r w:rsidRPr="00CE6B74">
              <w:rPr>
                <w:rFonts w:ascii="Maiandra GD" w:hAnsi="Maiandra GD"/>
              </w:rPr>
              <w:t>Closing reflections</w:t>
            </w:r>
          </w:p>
        </w:tc>
        <w:tc>
          <w:tcPr>
            <w:tcW w:w="5041" w:type="dxa"/>
            <w:tcMar>
              <w:top w:w="80" w:type="dxa"/>
              <w:left w:w="120" w:type="dxa"/>
              <w:bottom w:w="80" w:type="dxa"/>
              <w:right w:w="120" w:type="dxa"/>
            </w:tcMar>
            <w:vAlign w:val="center"/>
          </w:tcPr>
          <w:p w14:paraId="663F6FB7" w14:textId="77777777" w:rsidR="00DC4679" w:rsidRPr="00CE6B74" w:rsidRDefault="00DC4679" w:rsidP="000F369C">
            <w:pPr>
              <w:spacing w:line="276" w:lineRule="auto"/>
              <w:jc w:val="both"/>
              <w:rPr>
                <w:rFonts w:ascii="Maiandra GD" w:hAnsi="Maiandra GD"/>
              </w:rPr>
            </w:pPr>
            <w:r w:rsidRPr="00CE6B74">
              <w:rPr>
                <w:rFonts w:ascii="Maiandra GD" w:hAnsi="Maiandra GD"/>
                <w:b/>
                <w:bCs/>
              </w:rPr>
              <w:t>5 minutes</w:t>
            </w:r>
          </w:p>
        </w:tc>
      </w:tr>
      <w:tr w:rsidR="00DC4679" w:rsidRPr="00CE6B74" w14:paraId="7492D0B9" w14:textId="77777777" w:rsidTr="00D05209">
        <w:trPr>
          <w:jc w:val="center"/>
        </w:trPr>
        <w:tc>
          <w:tcPr>
            <w:tcW w:w="4954" w:type="dxa"/>
            <w:shd w:val="clear" w:color="auto" w:fill="EAF2F8"/>
            <w:tcMar>
              <w:top w:w="80" w:type="dxa"/>
              <w:left w:w="120" w:type="dxa"/>
              <w:bottom w:w="80" w:type="dxa"/>
              <w:right w:w="120" w:type="dxa"/>
            </w:tcMar>
            <w:vAlign w:val="center"/>
          </w:tcPr>
          <w:p w14:paraId="6301D7E3" w14:textId="77777777" w:rsidR="00DC4679" w:rsidRPr="00CE6B74" w:rsidRDefault="00DC4679" w:rsidP="000F369C">
            <w:pPr>
              <w:spacing w:line="276" w:lineRule="auto"/>
              <w:jc w:val="both"/>
              <w:rPr>
                <w:rFonts w:ascii="Maiandra GD" w:hAnsi="Maiandra GD"/>
              </w:rPr>
            </w:pPr>
            <w:r w:rsidRPr="00CE6B74">
              <w:rPr>
                <w:rFonts w:ascii="Maiandra GD" w:hAnsi="Maiandra GD"/>
                <w:b/>
              </w:rPr>
              <w:t>Total</w:t>
            </w:r>
          </w:p>
        </w:tc>
        <w:tc>
          <w:tcPr>
            <w:tcW w:w="5041" w:type="dxa"/>
            <w:shd w:val="clear" w:color="auto" w:fill="EAF2F8"/>
            <w:tcMar>
              <w:top w:w="80" w:type="dxa"/>
              <w:left w:w="120" w:type="dxa"/>
              <w:bottom w:w="80" w:type="dxa"/>
              <w:right w:w="120" w:type="dxa"/>
            </w:tcMar>
            <w:vAlign w:val="center"/>
          </w:tcPr>
          <w:p w14:paraId="58C40F7B" w14:textId="4E3B819E" w:rsidR="00DC4679" w:rsidRPr="00CE6B74" w:rsidRDefault="006D3F75" w:rsidP="000F369C">
            <w:pPr>
              <w:spacing w:line="276" w:lineRule="auto"/>
              <w:jc w:val="both"/>
              <w:rPr>
                <w:rFonts w:ascii="Maiandra GD" w:hAnsi="Maiandra GD"/>
              </w:rPr>
            </w:pPr>
            <w:r>
              <w:rPr>
                <w:rFonts w:ascii="Maiandra GD" w:hAnsi="Maiandra GD"/>
                <w:b/>
                <w:bCs/>
              </w:rPr>
              <w:t>6</w:t>
            </w:r>
            <w:r w:rsidR="00DC4679" w:rsidRPr="00CE6B74">
              <w:rPr>
                <w:rFonts w:ascii="Maiandra GD" w:hAnsi="Maiandra GD"/>
                <w:b/>
                <w:bCs/>
              </w:rPr>
              <w:t>0 minutes</w:t>
            </w:r>
          </w:p>
        </w:tc>
      </w:tr>
    </w:tbl>
    <w:p w14:paraId="3F5E50C1" w14:textId="77777777" w:rsidR="00DC4679" w:rsidRPr="00902BCB" w:rsidRDefault="00DC4679" w:rsidP="00DC4679">
      <w:pPr>
        <w:pStyle w:val="Heading1"/>
        <w:spacing w:line="360" w:lineRule="auto"/>
        <w:jc w:val="both"/>
        <w:rPr>
          <w:rFonts w:ascii="Maiandra GD" w:hAnsi="Maiandra GD"/>
          <w:sz w:val="22"/>
          <w:szCs w:val="22"/>
        </w:rPr>
      </w:pPr>
    </w:p>
    <w:p w14:paraId="204CC638" w14:textId="77777777" w:rsidR="00DC4679" w:rsidRPr="009E27C4" w:rsidRDefault="00DC4679" w:rsidP="00D05209">
      <w:pPr>
        <w:pStyle w:val="Heading1"/>
        <w:numPr>
          <w:ilvl w:val="0"/>
          <w:numId w:val="15"/>
        </w:numPr>
        <w:spacing w:before="0" w:line="276" w:lineRule="auto"/>
        <w:ind w:left="360"/>
        <w:jc w:val="both"/>
        <w:rPr>
          <w:rFonts w:ascii="Maiandra GD" w:hAnsi="Maiandra GD"/>
          <w:b/>
          <w:bCs/>
          <w:sz w:val="22"/>
          <w:szCs w:val="22"/>
        </w:rPr>
      </w:pPr>
      <w:r w:rsidRPr="009E27C4">
        <w:rPr>
          <w:rFonts w:ascii="Maiandra GD" w:hAnsi="Maiandra GD" w:cs="Tahoma"/>
          <w:b/>
          <w:bCs/>
          <w:sz w:val="22"/>
          <w:szCs w:val="22"/>
        </w:rPr>
        <w:t>Recommended</w:t>
      </w:r>
      <w:r w:rsidRPr="009E27C4">
        <w:rPr>
          <w:rFonts w:ascii="Maiandra GD" w:hAnsi="Maiandra GD"/>
          <w:b/>
          <w:bCs/>
          <w:sz w:val="22"/>
          <w:szCs w:val="22"/>
        </w:rPr>
        <w:t xml:space="preserve"> Panel Composition</w:t>
      </w:r>
    </w:p>
    <w:tbl>
      <w:tblPr>
        <w:tblStyle w:val="TableGrid"/>
        <w:tblW w:w="10170" w:type="dxa"/>
        <w:tblInd w:w="-185" w:type="dxa"/>
        <w:tblLayout w:type="fixed"/>
        <w:tblLook w:val="04A0" w:firstRow="1" w:lastRow="0" w:firstColumn="1" w:lastColumn="0" w:noHBand="0" w:noVBand="1"/>
      </w:tblPr>
      <w:tblGrid>
        <w:gridCol w:w="1620"/>
        <w:gridCol w:w="2070"/>
        <w:gridCol w:w="6480"/>
      </w:tblGrid>
      <w:tr w:rsidR="00DC4679" w:rsidRPr="00CE6B74" w14:paraId="11B37B6A" w14:textId="77777777" w:rsidTr="00AC25A1">
        <w:trPr>
          <w:tblHeader/>
        </w:trPr>
        <w:tc>
          <w:tcPr>
            <w:tcW w:w="1620" w:type="dxa"/>
            <w:vAlign w:val="center"/>
          </w:tcPr>
          <w:p w14:paraId="3C5D1E79" w14:textId="77777777" w:rsidR="00DC4679" w:rsidRPr="00CE6B74" w:rsidRDefault="00DC4679" w:rsidP="000F369C">
            <w:pPr>
              <w:spacing w:line="360" w:lineRule="auto"/>
              <w:jc w:val="both"/>
              <w:rPr>
                <w:rFonts w:ascii="Maiandra GD" w:hAnsi="Maiandra GD"/>
              </w:rPr>
            </w:pPr>
            <w:r w:rsidRPr="00CE6B74">
              <w:rPr>
                <w:rFonts w:ascii="Maiandra GD" w:eastAsia="Times New Roman" w:hAnsi="Maiandra GD" w:cs="Times New Roman"/>
                <w:b/>
                <w:bCs/>
              </w:rPr>
              <w:t>Participant</w:t>
            </w:r>
          </w:p>
        </w:tc>
        <w:tc>
          <w:tcPr>
            <w:tcW w:w="2070" w:type="dxa"/>
            <w:vAlign w:val="center"/>
          </w:tcPr>
          <w:p w14:paraId="5B66D069" w14:textId="77777777" w:rsidR="00DC4679" w:rsidRPr="009E27C4" w:rsidRDefault="00DC4679" w:rsidP="000F369C">
            <w:pPr>
              <w:spacing w:line="360" w:lineRule="auto"/>
              <w:jc w:val="both"/>
              <w:rPr>
                <w:rFonts w:ascii="Maiandra GD" w:hAnsi="Maiandra GD"/>
                <w:b/>
                <w:bCs/>
              </w:rPr>
            </w:pPr>
            <w:r w:rsidRPr="009E27C4">
              <w:rPr>
                <w:rFonts w:ascii="Maiandra GD" w:eastAsia="Times New Roman" w:hAnsi="Maiandra GD" w:cs="Times New Roman"/>
                <w:b/>
                <w:bCs/>
              </w:rPr>
              <w:t>Area of discussion</w:t>
            </w:r>
          </w:p>
        </w:tc>
        <w:tc>
          <w:tcPr>
            <w:tcW w:w="6480" w:type="dxa"/>
            <w:vAlign w:val="center"/>
          </w:tcPr>
          <w:p w14:paraId="12563ECA" w14:textId="77777777" w:rsidR="00DC4679" w:rsidRPr="00CE6B74" w:rsidRDefault="00DC4679" w:rsidP="000F369C">
            <w:pPr>
              <w:spacing w:line="360" w:lineRule="auto"/>
              <w:jc w:val="both"/>
              <w:rPr>
                <w:rFonts w:ascii="Maiandra GD" w:hAnsi="Maiandra GD"/>
              </w:rPr>
            </w:pPr>
            <w:r w:rsidRPr="00CE6B74">
              <w:rPr>
                <w:rFonts w:ascii="Maiandra GD" w:eastAsia="Times New Roman" w:hAnsi="Maiandra GD" w:cs="Times New Roman"/>
                <w:b/>
                <w:bCs/>
              </w:rPr>
              <w:t>How the discussion relates to the keynote</w:t>
            </w:r>
          </w:p>
        </w:tc>
      </w:tr>
      <w:tr w:rsidR="00DC4679" w:rsidRPr="00CE6B74" w14:paraId="0482B156" w14:textId="77777777" w:rsidTr="00AC25A1">
        <w:tc>
          <w:tcPr>
            <w:tcW w:w="1620" w:type="dxa"/>
            <w:vAlign w:val="center"/>
          </w:tcPr>
          <w:p w14:paraId="7CC609CB" w14:textId="77777777" w:rsidR="00AC068F" w:rsidRPr="00AC068F" w:rsidRDefault="00DC4679" w:rsidP="00AC068F">
            <w:pPr>
              <w:spacing w:line="360" w:lineRule="auto"/>
              <w:jc w:val="both"/>
              <w:rPr>
                <w:rFonts w:ascii="Maiandra GD" w:eastAsia="Times New Roman" w:hAnsi="Maiandra GD" w:cs="Times New Roman"/>
                <w:b/>
                <w:bCs/>
              </w:rPr>
            </w:pPr>
            <w:r w:rsidRPr="00CE6B74">
              <w:rPr>
                <w:rFonts w:ascii="Maiandra GD" w:eastAsia="Times New Roman" w:hAnsi="Maiandra GD" w:cs="Times New Roman"/>
                <w:b/>
                <w:bCs/>
              </w:rPr>
              <w:t xml:space="preserve">Lead Presenter: </w:t>
            </w:r>
            <w:r w:rsidR="00AC068F" w:rsidRPr="00AC068F">
              <w:rPr>
                <w:rFonts w:ascii="Maiandra GD" w:eastAsia="Times New Roman" w:hAnsi="Maiandra GD" w:cs="Times New Roman"/>
                <w:b/>
                <w:bCs/>
              </w:rPr>
              <w:t>Prof. Charles Ong’ondo - CEO, Kenya</w:t>
            </w:r>
          </w:p>
          <w:p w14:paraId="2D92558B" w14:textId="034B6B39" w:rsidR="00DC4679" w:rsidRPr="00CE6B74" w:rsidRDefault="00AC068F" w:rsidP="00AC068F">
            <w:pPr>
              <w:spacing w:line="360" w:lineRule="auto"/>
              <w:jc w:val="both"/>
              <w:rPr>
                <w:rFonts w:ascii="Maiandra GD" w:hAnsi="Maiandra GD"/>
                <w:b/>
                <w:bCs/>
              </w:rPr>
            </w:pPr>
            <w:r w:rsidRPr="00AC068F">
              <w:rPr>
                <w:rFonts w:ascii="Maiandra GD" w:eastAsia="Times New Roman" w:hAnsi="Maiandra GD" w:cs="Times New Roman"/>
                <w:b/>
                <w:bCs/>
              </w:rPr>
              <w:t>Institute of Curriculum Development (KICD)</w:t>
            </w:r>
          </w:p>
        </w:tc>
        <w:tc>
          <w:tcPr>
            <w:tcW w:w="2070" w:type="dxa"/>
            <w:vAlign w:val="center"/>
          </w:tcPr>
          <w:p w14:paraId="61E88CA3" w14:textId="77777777" w:rsidR="00DC4679" w:rsidRPr="009E27C4" w:rsidRDefault="00DC4679" w:rsidP="000F369C">
            <w:pPr>
              <w:spacing w:line="360" w:lineRule="auto"/>
              <w:jc w:val="both"/>
              <w:rPr>
                <w:rFonts w:ascii="Maiandra GD" w:hAnsi="Maiandra GD"/>
                <w:b/>
                <w:bCs/>
              </w:rPr>
            </w:pPr>
            <w:r w:rsidRPr="009E27C4">
              <w:rPr>
                <w:rFonts w:ascii="Maiandra GD" w:eastAsia="Times New Roman" w:hAnsi="Maiandra GD" w:cs="Times New Roman"/>
                <w:b/>
                <w:bCs/>
              </w:rPr>
              <w:t>Competency-Based Education in basic education and curriculum design for future-ready qualifications</w:t>
            </w:r>
          </w:p>
        </w:tc>
        <w:tc>
          <w:tcPr>
            <w:tcW w:w="6480" w:type="dxa"/>
            <w:vAlign w:val="center"/>
          </w:tcPr>
          <w:p w14:paraId="31682C92" w14:textId="77777777" w:rsidR="00DC4679" w:rsidRPr="00CE6B74" w:rsidRDefault="00DC4679" w:rsidP="000F369C">
            <w:pPr>
              <w:spacing w:line="360" w:lineRule="auto"/>
              <w:jc w:val="both"/>
              <w:rPr>
                <w:rFonts w:ascii="Maiandra GD" w:hAnsi="Maiandra GD"/>
              </w:rPr>
            </w:pPr>
            <w:r w:rsidRPr="00CE6B74">
              <w:rPr>
                <w:rFonts w:ascii="Maiandra GD" w:eastAsia="Times New Roman" w:hAnsi="Maiandra GD" w:cs="Times New Roman"/>
              </w:rPr>
              <w:t>To provide the keynote framing on how Competency-Based Education is reshaping curriculum design by shifting attention from content coverage to the development of competencies, values, learner capability, and practical readiness for life and work. The presentation should further demonstrate how curriculum reform can better integrate emerging skills and national development priorities into qualifications design so that learning remains relevant to the changing demands of society and the economy.</w:t>
            </w:r>
          </w:p>
        </w:tc>
      </w:tr>
      <w:tr w:rsidR="00F428B3" w:rsidRPr="00CE6B74" w14:paraId="42CE1901" w14:textId="77777777" w:rsidTr="00AC25A1">
        <w:tc>
          <w:tcPr>
            <w:tcW w:w="1620" w:type="dxa"/>
            <w:vAlign w:val="center"/>
          </w:tcPr>
          <w:p w14:paraId="3156E83E" w14:textId="2336EEF4" w:rsidR="00F428B3" w:rsidRPr="00CE6B74" w:rsidRDefault="0037204C" w:rsidP="00B9029A">
            <w:pPr>
              <w:spacing w:line="360" w:lineRule="auto"/>
              <w:jc w:val="both"/>
              <w:rPr>
                <w:rFonts w:ascii="Maiandra GD" w:hAnsi="Maiandra GD"/>
                <w:b/>
                <w:bCs/>
              </w:rPr>
            </w:pPr>
            <w:r>
              <w:rPr>
                <w:rFonts w:ascii="Maiandra GD" w:eastAsia="Times New Roman" w:hAnsi="Maiandra GD" w:cs="Times New Roman"/>
                <w:b/>
                <w:bCs/>
              </w:rPr>
              <w:t xml:space="preserve">Panelist 1: </w:t>
            </w:r>
            <w:r w:rsidR="00B9029A" w:rsidRPr="00B9029A">
              <w:rPr>
                <w:rFonts w:ascii="Maiandra GD" w:eastAsia="Times New Roman" w:hAnsi="Maiandra GD" w:cs="Times New Roman"/>
                <w:b/>
                <w:bCs/>
              </w:rPr>
              <w:t xml:space="preserve">Prof. Kisilu </w:t>
            </w:r>
            <w:r w:rsidR="00B9029A" w:rsidRPr="00B9029A">
              <w:rPr>
                <w:rFonts w:ascii="Maiandra GD" w:eastAsia="Times New Roman" w:hAnsi="Maiandra GD" w:cs="Times New Roman"/>
                <w:b/>
                <w:bCs/>
              </w:rPr>
              <w:lastRenderedPageBreak/>
              <w:t>Kitainge - CEO, (TVET CDACC)</w:t>
            </w:r>
          </w:p>
        </w:tc>
        <w:tc>
          <w:tcPr>
            <w:tcW w:w="2070" w:type="dxa"/>
            <w:vAlign w:val="center"/>
          </w:tcPr>
          <w:p w14:paraId="6E185668" w14:textId="77777777" w:rsidR="00F428B3" w:rsidRPr="009E27C4" w:rsidRDefault="00F428B3" w:rsidP="000F369C">
            <w:pPr>
              <w:spacing w:line="360" w:lineRule="auto"/>
              <w:jc w:val="both"/>
              <w:rPr>
                <w:rFonts w:ascii="Maiandra GD" w:hAnsi="Maiandra GD"/>
                <w:b/>
                <w:bCs/>
              </w:rPr>
            </w:pPr>
            <w:r w:rsidRPr="009E27C4">
              <w:rPr>
                <w:rFonts w:ascii="Maiandra GD" w:eastAsia="Times New Roman" w:hAnsi="Maiandra GD" w:cs="Times New Roman"/>
                <w:b/>
                <w:bCs/>
              </w:rPr>
              <w:lastRenderedPageBreak/>
              <w:t xml:space="preserve">CBET curriculum development, </w:t>
            </w:r>
            <w:r w:rsidRPr="009E27C4">
              <w:rPr>
                <w:rFonts w:ascii="Maiandra GD" w:eastAsia="Times New Roman" w:hAnsi="Maiandra GD" w:cs="Times New Roman"/>
                <w:b/>
                <w:bCs/>
              </w:rPr>
              <w:lastRenderedPageBreak/>
              <w:t>assessment, and certification for future-ready TVET qualifications</w:t>
            </w:r>
          </w:p>
        </w:tc>
        <w:tc>
          <w:tcPr>
            <w:tcW w:w="6480" w:type="dxa"/>
            <w:vAlign w:val="center"/>
          </w:tcPr>
          <w:p w14:paraId="36B7C35A" w14:textId="77777777" w:rsidR="00F428B3" w:rsidRPr="00CE6B74" w:rsidRDefault="00F428B3" w:rsidP="000F369C">
            <w:pPr>
              <w:spacing w:line="360" w:lineRule="auto"/>
              <w:jc w:val="both"/>
              <w:rPr>
                <w:rFonts w:ascii="Maiandra GD" w:hAnsi="Maiandra GD"/>
              </w:rPr>
            </w:pPr>
            <w:r w:rsidRPr="00CE6B74">
              <w:rPr>
                <w:rFonts w:ascii="Maiandra GD" w:eastAsia="Times New Roman" w:hAnsi="Maiandra GD" w:cs="Times New Roman"/>
              </w:rPr>
              <w:lastRenderedPageBreak/>
              <w:t xml:space="preserve">To speak to how CBET operationalizes competency-based principles in the world of training and work through occupational </w:t>
            </w:r>
            <w:r w:rsidRPr="00CE6B74">
              <w:rPr>
                <w:rFonts w:ascii="Maiandra GD" w:eastAsia="Times New Roman" w:hAnsi="Maiandra GD" w:cs="Times New Roman"/>
              </w:rPr>
              <w:lastRenderedPageBreak/>
              <w:t>standards, modular curricula, competence-based assessment, and certification. This contribution should highlight how qualifications can be strengthened to reflect demonstrable workplace competence, labour-market relevance, and industry expectations, thereby reinforcing the practical value and credibility of qualifications.</w:t>
            </w:r>
          </w:p>
        </w:tc>
      </w:tr>
      <w:tr w:rsidR="00DC4679" w:rsidRPr="00CE6B74" w14:paraId="60C1E215" w14:textId="77777777" w:rsidTr="00AC25A1">
        <w:tc>
          <w:tcPr>
            <w:tcW w:w="1620" w:type="dxa"/>
            <w:vAlign w:val="center"/>
          </w:tcPr>
          <w:p w14:paraId="24D9F0FB" w14:textId="6821F624" w:rsidR="00DC4679" w:rsidRPr="00CE6B74" w:rsidRDefault="00E2769F" w:rsidP="00492AF1">
            <w:pPr>
              <w:spacing w:line="360" w:lineRule="auto"/>
              <w:jc w:val="both"/>
              <w:rPr>
                <w:rFonts w:ascii="Maiandra GD" w:hAnsi="Maiandra GD"/>
                <w:b/>
                <w:bCs/>
              </w:rPr>
            </w:pPr>
            <w:r>
              <w:rPr>
                <w:rFonts w:ascii="Maiandra GD" w:eastAsia="Times New Roman" w:hAnsi="Maiandra GD" w:cs="Times New Roman"/>
                <w:b/>
                <w:bCs/>
              </w:rPr>
              <w:lastRenderedPageBreak/>
              <w:t xml:space="preserve">Panelist </w:t>
            </w:r>
            <w:r w:rsidR="0037204C">
              <w:rPr>
                <w:rFonts w:ascii="Maiandra GD" w:eastAsia="Times New Roman" w:hAnsi="Maiandra GD" w:cs="Times New Roman"/>
                <w:b/>
                <w:bCs/>
              </w:rPr>
              <w:t>2</w:t>
            </w:r>
            <w:r>
              <w:rPr>
                <w:rFonts w:ascii="Maiandra GD" w:eastAsia="Times New Roman" w:hAnsi="Maiandra GD" w:cs="Times New Roman"/>
                <w:b/>
                <w:bCs/>
              </w:rPr>
              <w:t xml:space="preserve">: </w:t>
            </w:r>
            <w:r w:rsidR="00492AF1" w:rsidRPr="00492AF1">
              <w:rPr>
                <w:rFonts w:ascii="Maiandra GD" w:eastAsia="Times New Roman" w:hAnsi="Maiandra GD" w:cs="Times New Roman"/>
                <w:b/>
                <w:bCs/>
              </w:rPr>
              <w:t>Dr. David Njengere, PhD, MBS - CEO, KNEC</w:t>
            </w:r>
            <w:r w:rsidR="00492AF1">
              <w:rPr>
                <w:rFonts w:ascii="Maiandra GD" w:eastAsia="Times New Roman" w:hAnsi="Maiandra GD" w:cs="Times New Roman"/>
                <w:b/>
                <w:bCs/>
              </w:rPr>
              <w:t xml:space="preserve"> </w:t>
            </w:r>
          </w:p>
        </w:tc>
        <w:tc>
          <w:tcPr>
            <w:tcW w:w="2070" w:type="dxa"/>
            <w:vAlign w:val="center"/>
          </w:tcPr>
          <w:p w14:paraId="57FEA4A0" w14:textId="77777777" w:rsidR="00DC4679" w:rsidRPr="009E27C4" w:rsidRDefault="00DC4679" w:rsidP="000F369C">
            <w:pPr>
              <w:spacing w:line="360" w:lineRule="auto"/>
              <w:jc w:val="both"/>
              <w:rPr>
                <w:rFonts w:ascii="Maiandra GD" w:hAnsi="Maiandra GD"/>
                <w:b/>
                <w:bCs/>
              </w:rPr>
            </w:pPr>
            <w:r w:rsidRPr="009E27C4">
              <w:rPr>
                <w:rFonts w:ascii="Maiandra GD" w:eastAsia="Times New Roman" w:hAnsi="Maiandra GD" w:cs="Times New Roman"/>
                <w:b/>
                <w:bCs/>
              </w:rPr>
              <w:t>Assessment and certification of competencies in basic education</w:t>
            </w:r>
          </w:p>
        </w:tc>
        <w:tc>
          <w:tcPr>
            <w:tcW w:w="6480" w:type="dxa"/>
            <w:vAlign w:val="center"/>
          </w:tcPr>
          <w:p w14:paraId="5EFE66FD" w14:textId="11CA2B8B" w:rsidR="00DC4679" w:rsidRPr="00CE6B74" w:rsidRDefault="00DC4679" w:rsidP="000F369C">
            <w:pPr>
              <w:spacing w:line="360" w:lineRule="auto"/>
              <w:jc w:val="both"/>
              <w:rPr>
                <w:rFonts w:ascii="Maiandra GD" w:hAnsi="Maiandra GD"/>
              </w:rPr>
            </w:pPr>
            <w:r w:rsidRPr="00CE6B74">
              <w:rPr>
                <w:rFonts w:ascii="Maiandra GD" w:eastAsia="Times New Roman" w:hAnsi="Maiandra GD" w:cs="Times New Roman"/>
              </w:rPr>
              <w:t xml:space="preserve">To address how national assessment and certification systems should evolve within a CBE environment so that they measure application, performance, and achievement of learning outcomes rather than only recall of content. This perspective should underscore the central role of assessment reform in strengthening </w:t>
            </w:r>
            <w:r w:rsidR="00AC25A1" w:rsidRPr="00CE6B74">
              <w:rPr>
                <w:rFonts w:ascii="Maiandra GD" w:eastAsia="Times New Roman" w:hAnsi="Maiandra GD" w:cs="Times New Roman"/>
              </w:rPr>
              <w:t>credibility</w:t>
            </w:r>
            <w:r w:rsidRPr="00CE6B74">
              <w:rPr>
                <w:rFonts w:ascii="Maiandra GD" w:eastAsia="Times New Roman" w:hAnsi="Maiandra GD" w:cs="Times New Roman"/>
              </w:rPr>
              <w:t>, integrity, and public trust of qualifications in a system that increasingly values demonstrated competence.</w:t>
            </w:r>
          </w:p>
        </w:tc>
      </w:tr>
      <w:tr w:rsidR="00DC4679" w:rsidRPr="00CE6B74" w14:paraId="3BC55E1A" w14:textId="77777777" w:rsidTr="00AC25A1">
        <w:tc>
          <w:tcPr>
            <w:tcW w:w="1620" w:type="dxa"/>
            <w:vAlign w:val="center"/>
          </w:tcPr>
          <w:p w14:paraId="3E691D5C" w14:textId="79ECC154" w:rsidR="00DC4679" w:rsidRPr="00CE6B74" w:rsidRDefault="0037204C" w:rsidP="00506FDA">
            <w:pPr>
              <w:spacing w:line="360" w:lineRule="auto"/>
              <w:jc w:val="both"/>
              <w:rPr>
                <w:rFonts w:ascii="Maiandra GD" w:hAnsi="Maiandra GD"/>
                <w:b/>
                <w:bCs/>
              </w:rPr>
            </w:pPr>
            <w:r>
              <w:rPr>
                <w:rFonts w:ascii="Maiandra GD" w:eastAsia="Times New Roman" w:hAnsi="Maiandra GD" w:cs="Times New Roman"/>
                <w:b/>
                <w:bCs/>
              </w:rPr>
              <w:t xml:space="preserve">Panelist 3: </w:t>
            </w:r>
            <w:r w:rsidR="00506FDA" w:rsidRPr="00506FDA">
              <w:rPr>
                <w:rFonts w:ascii="Maiandra GD" w:eastAsia="Times New Roman" w:hAnsi="Maiandra GD" w:cs="Times New Roman"/>
                <w:b/>
                <w:bCs/>
              </w:rPr>
              <w:t>Mr. Timothy Katiambo - Ag.CEO, TVETA</w:t>
            </w:r>
          </w:p>
        </w:tc>
        <w:tc>
          <w:tcPr>
            <w:tcW w:w="2070" w:type="dxa"/>
            <w:vAlign w:val="center"/>
          </w:tcPr>
          <w:p w14:paraId="619825AA" w14:textId="77777777" w:rsidR="00DC4679" w:rsidRPr="009E27C4" w:rsidRDefault="00DC4679" w:rsidP="000F369C">
            <w:pPr>
              <w:spacing w:line="360" w:lineRule="auto"/>
              <w:jc w:val="both"/>
              <w:rPr>
                <w:rFonts w:ascii="Maiandra GD" w:hAnsi="Maiandra GD"/>
                <w:b/>
                <w:bCs/>
              </w:rPr>
            </w:pPr>
            <w:r w:rsidRPr="009E27C4">
              <w:rPr>
                <w:rFonts w:ascii="Maiandra GD" w:eastAsia="Times New Roman" w:hAnsi="Maiandra GD" w:cs="Times New Roman"/>
                <w:b/>
                <w:bCs/>
              </w:rPr>
              <w:t>Regulation and quality assurance for CBET delivery</w:t>
            </w:r>
          </w:p>
        </w:tc>
        <w:tc>
          <w:tcPr>
            <w:tcW w:w="6480" w:type="dxa"/>
            <w:vAlign w:val="center"/>
          </w:tcPr>
          <w:p w14:paraId="24E9E365" w14:textId="77777777" w:rsidR="00DC4679" w:rsidRPr="00CE6B74" w:rsidRDefault="00DC4679" w:rsidP="000F369C">
            <w:pPr>
              <w:spacing w:line="360" w:lineRule="auto"/>
              <w:jc w:val="both"/>
              <w:rPr>
                <w:rFonts w:ascii="Maiandra GD" w:hAnsi="Maiandra GD"/>
              </w:rPr>
            </w:pPr>
            <w:r w:rsidRPr="00CE6B74">
              <w:rPr>
                <w:rFonts w:ascii="Maiandra GD" w:eastAsia="Times New Roman" w:hAnsi="Maiandra GD" w:cs="Times New Roman"/>
              </w:rPr>
              <w:t>To discuss the regulatory, accreditation, and quality assurance conditions necessary to support effective delivery of competency-based and future-oriented qualifications in the TVET sector. This perspective should focus on institutional readiness, programme approval, trainer capacity, and system quality safeguards required to ensure that CBET qualifications are not only well designed, but also consistently delivered to the expected standard.</w:t>
            </w:r>
          </w:p>
        </w:tc>
      </w:tr>
      <w:tr w:rsidR="00DC4679" w:rsidRPr="00CE6B74" w14:paraId="6B52BD32" w14:textId="77777777" w:rsidTr="00AC25A1">
        <w:tc>
          <w:tcPr>
            <w:tcW w:w="1620" w:type="dxa"/>
            <w:vAlign w:val="center"/>
          </w:tcPr>
          <w:p w14:paraId="0412BA93" w14:textId="56DA60CA" w:rsidR="003201C2" w:rsidRPr="003201C2" w:rsidRDefault="0037204C" w:rsidP="003201C2">
            <w:pPr>
              <w:spacing w:line="360" w:lineRule="auto"/>
              <w:jc w:val="both"/>
              <w:rPr>
                <w:rFonts w:ascii="Maiandra GD" w:eastAsia="Times New Roman" w:hAnsi="Maiandra GD" w:cs="Times New Roman"/>
                <w:b/>
                <w:bCs/>
              </w:rPr>
            </w:pPr>
            <w:r>
              <w:rPr>
                <w:rFonts w:ascii="Maiandra GD" w:eastAsia="Times New Roman" w:hAnsi="Maiandra GD" w:cs="Times New Roman"/>
                <w:b/>
                <w:bCs/>
              </w:rPr>
              <w:t xml:space="preserve">Panelist 4: </w:t>
            </w:r>
            <w:r w:rsidR="003201C2" w:rsidRPr="003201C2">
              <w:rPr>
                <w:rFonts w:ascii="Maiandra GD" w:eastAsia="Times New Roman" w:hAnsi="Maiandra GD" w:cs="Times New Roman"/>
                <w:b/>
                <w:bCs/>
              </w:rPr>
              <w:t>Prof. Nicholas Letting, PhD, EBS, HSC - CEO,</w:t>
            </w:r>
          </w:p>
          <w:p w14:paraId="1DB7DF11" w14:textId="0AC1B632" w:rsidR="00DC4679" w:rsidRPr="00CE6B74" w:rsidRDefault="003201C2" w:rsidP="003201C2">
            <w:pPr>
              <w:spacing w:line="360" w:lineRule="auto"/>
              <w:jc w:val="both"/>
              <w:rPr>
                <w:rFonts w:ascii="Maiandra GD" w:hAnsi="Maiandra GD"/>
                <w:b/>
                <w:bCs/>
              </w:rPr>
            </w:pPr>
            <w:r w:rsidRPr="003201C2">
              <w:rPr>
                <w:rFonts w:ascii="Maiandra GD" w:eastAsia="Times New Roman" w:hAnsi="Maiandra GD" w:cs="Times New Roman"/>
                <w:b/>
                <w:bCs/>
              </w:rPr>
              <w:t>KASNEB</w:t>
            </w:r>
          </w:p>
        </w:tc>
        <w:tc>
          <w:tcPr>
            <w:tcW w:w="2070" w:type="dxa"/>
            <w:vAlign w:val="center"/>
          </w:tcPr>
          <w:p w14:paraId="31F55DED" w14:textId="77777777" w:rsidR="00DC4679" w:rsidRPr="009E27C4" w:rsidRDefault="00DC4679" w:rsidP="000F369C">
            <w:pPr>
              <w:spacing w:line="360" w:lineRule="auto"/>
              <w:jc w:val="both"/>
              <w:rPr>
                <w:rFonts w:ascii="Maiandra GD" w:hAnsi="Maiandra GD"/>
                <w:b/>
                <w:bCs/>
              </w:rPr>
            </w:pPr>
            <w:r w:rsidRPr="009E27C4">
              <w:rPr>
                <w:rFonts w:ascii="Maiandra GD" w:eastAsia="Times New Roman" w:hAnsi="Maiandra GD" w:cs="Times New Roman"/>
                <w:b/>
                <w:bCs/>
              </w:rPr>
              <w:t>Professional qualifications and emerging skills in a competency-driven economy</w:t>
            </w:r>
          </w:p>
        </w:tc>
        <w:tc>
          <w:tcPr>
            <w:tcW w:w="6480" w:type="dxa"/>
            <w:vAlign w:val="center"/>
          </w:tcPr>
          <w:p w14:paraId="2D212344" w14:textId="77777777" w:rsidR="00DC4679" w:rsidRPr="00CE6B74" w:rsidRDefault="00DC4679" w:rsidP="000F369C">
            <w:pPr>
              <w:spacing w:line="360" w:lineRule="auto"/>
              <w:jc w:val="both"/>
              <w:rPr>
                <w:rFonts w:ascii="Maiandra GD" w:hAnsi="Maiandra GD"/>
              </w:rPr>
            </w:pPr>
            <w:r w:rsidRPr="00CE6B74">
              <w:rPr>
                <w:rFonts w:ascii="Maiandra GD" w:eastAsia="Times New Roman" w:hAnsi="Maiandra GD" w:cs="Times New Roman"/>
              </w:rPr>
              <w:t>To bring the perspective of professional qualifications and demonstrate how qualifications can remain trusted, relevant, and market-responsive in the face of changing workplace expectations, evolving occupational standards, and emerging skills needs. This contribution should show how professional examination and certification systems can adapt to a dynamic economy while preserving rigour, credibility, and professional value.</w:t>
            </w:r>
          </w:p>
        </w:tc>
      </w:tr>
      <w:tr w:rsidR="00DC4679" w:rsidRPr="00CE6B74" w14:paraId="59AD9470" w14:textId="77777777" w:rsidTr="00AC25A1">
        <w:tc>
          <w:tcPr>
            <w:tcW w:w="1620" w:type="dxa"/>
            <w:vAlign w:val="center"/>
          </w:tcPr>
          <w:p w14:paraId="6F6A0E1D" w14:textId="77777777" w:rsidR="00DC4679" w:rsidRPr="00CE6B74" w:rsidRDefault="00DC4679" w:rsidP="000F369C">
            <w:pPr>
              <w:spacing w:line="360" w:lineRule="auto"/>
              <w:jc w:val="both"/>
              <w:rPr>
                <w:rFonts w:ascii="Maiandra GD" w:eastAsia="Times New Roman" w:hAnsi="Maiandra GD" w:cs="Times New Roman"/>
                <w:b/>
                <w:bCs/>
              </w:rPr>
            </w:pPr>
            <w:r w:rsidRPr="00CE6B74">
              <w:rPr>
                <w:rFonts w:ascii="Maiandra GD" w:eastAsia="Times New Roman" w:hAnsi="Maiandra GD" w:cs="Times New Roman"/>
                <w:b/>
                <w:bCs/>
              </w:rPr>
              <w:t>Moderator: Director General / CEO, KNQA</w:t>
            </w:r>
          </w:p>
        </w:tc>
        <w:tc>
          <w:tcPr>
            <w:tcW w:w="2070" w:type="dxa"/>
            <w:vAlign w:val="center"/>
          </w:tcPr>
          <w:p w14:paraId="52AC55DC" w14:textId="77777777" w:rsidR="00DC4679" w:rsidRPr="009E27C4" w:rsidRDefault="00DC4679" w:rsidP="000F369C">
            <w:pPr>
              <w:spacing w:line="360" w:lineRule="auto"/>
              <w:jc w:val="both"/>
              <w:rPr>
                <w:rFonts w:ascii="Maiandra GD" w:eastAsia="Times New Roman" w:hAnsi="Maiandra GD" w:cs="Times New Roman"/>
                <w:b/>
                <w:bCs/>
              </w:rPr>
            </w:pPr>
            <w:r w:rsidRPr="009E27C4">
              <w:rPr>
                <w:rFonts w:ascii="Maiandra GD" w:eastAsia="Times New Roman" w:hAnsi="Maiandra GD" w:cs="Times New Roman"/>
                <w:b/>
                <w:bCs/>
              </w:rPr>
              <w:t>KNQF as the national anchor for outcomes-based and future-ready qualifications</w:t>
            </w:r>
          </w:p>
        </w:tc>
        <w:tc>
          <w:tcPr>
            <w:tcW w:w="6480" w:type="dxa"/>
            <w:vAlign w:val="center"/>
          </w:tcPr>
          <w:p w14:paraId="3866C558" w14:textId="77777777" w:rsidR="00DC4679" w:rsidRPr="00CE6B74" w:rsidRDefault="00DC4679" w:rsidP="000F369C">
            <w:pPr>
              <w:spacing w:line="360" w:lineRule="auto"/>
              <w:jc w:val="both"/>
              <w:rPr>
                <w:rFonts w:ascii="Maiandra GD" w:eastAsia="Times New Roman" w:hAnsi="Maiandra GD" w:cs="Times New Roman"/>
              </w:rPr>
            </w:pPr>
            <w:r w:rsidRPr="00CE6B74">
              <w:rPr>
                <w:rFonts w:ascii="Maiandra GD" w:eastAsia="Times New Roman" w:hAnsi="Maiandra GD" w:cs="Times New Roman"/>
              </w:rPr>
              <w:t xml:space="preserve">To steer the discussion from the perspective of national qualifications system coordination, with emphasis on how the KNQF provides a common reference point for aligning qualifications through level descriptors. The moderator should help frame how this national architecture supports coherence and comparability across Competency-Based Education (CBE), Competency-Based Education and Training (CBET), professional qualifications, and university education, while strengthening </w:t>
            </w:r>
            <w:r w:rsidRPr="00CE6B74">
              <w:rPr>
                <w:rFonts w:ascii="Maiandra GD" w:eastAsia="Times New Roman" w:hAnsi="Maiandra GD" w:cs="Times New Roman"/>
              </w:rPr>
              <w:lastRenderedPageBreak/>
              <w:t>progression, mobility, and responsiveness to national growth priorities.</w:t>
            </w:r>
          </w:p>
        </w:tc>
      </w:tr>
    </w:tbl>
    <w:p w14:paraId="6BC95868" w14:textId="77777777"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cs="Tahoma"/>
          <w:b/>
          <w:bCs/>
          <w:sz w:val="22"/>
          <w:szCs w:val="22"/>
        </w:rPr>
        <w:lastRenderedPageBreak/>
        <w:t>Guiding</w:t>
      </w:r>
      <w:r w:rsidRPr="009E27C4">
        <w:rPr>
          <w:rFonts w:ascii="Maiandra GD" w:hAnsi="Maiandra GD"/>
          <w:b/>
          <w:bCs/>
          <w:sz w:val="22"/>
          <w:szCs w:val="22"/>
        </w:rPr>
        <w:t xml:space="preserve"> Questions for the Panel</w:t>
      </w:r>
    </w:p>
    <w:p w14:paraId="26517855" w14:textId="77777777" w:rsidR="00DC4679" w:rsidRPr="00CE6B74" w:rsidRDefault="00DC4679" w:rsidP="00D31599">
      <w:pPr>
        <w:pStyle w:val="ListNumber"/>
        <w:numPr>
          <w:ilvl w:val="0"/>
          <w:numId w:val="17"/>
        </w:numPr>
        <w:spacing w:after="120" w:line="480" w:lineRule="auto"/>
        <w:jc w:val="both"/>
        <w:rPr>
          <w:rFonts w:ascii="Maiandra GD" w:hAnsi="Maiandra GD"/>
          <w:sz w:val="22"/>
        </w:rPr>
      </w:pPr>
      <w:r w:rsidRPr="00CE6B74">
        <w:rPr>
          <w:rFonts w:ascii="Maiandra GD" w:hAnsi="Maiandra GD"/>
          <w:sz w:val="22"/>
        </w:rPr>
        <w:t xml:space="preserve">How can future ready qualifications be designed for the Kenyan context </w:t>
      </w:r>
      <w:r w:rsidRPr="00CE6B74">
        <w:rPr>
          <w:rFonts w:ascii="Maiandra GD" w:hAnsi="Maiandra GD"/>
          <w:i/>
          <w:sz w:val="22"/>
        </w:rPr>
        <w:t>[ALL]</w:t>
      </w:r>
    </w:p>
    <w:p w14:paraId="1E8213BF" w14:textId="46E91643" w:rsidR="00DC4679" w:rsidRPr="00CE6B74" w:rsidRDefault="00DC4679" w:rsidP="00D31599">
      <w:pPr>
        <w:pStyle w:val="ListNumber"/>
        <w:numPr>
          <w:ilvl w:val="0"/>
          <w:numId w:val="17"/>
        </w:numPr>
        <w:spacing w:after="120" w:line="480" w:lineRule="auto"/>
        <w:jc w:val="both"/>
        <w:rPr>
          <w:rFonts w:ascii="Maiandra GD" w:hAnsi="Maiandra GD"/>
          <w:i/>
          <w:sz w:val="22"/>
        </w:rPr>
      </w:pPr>
      <w:r w:rsidRPr="00CE6B74">
        <w:rPr>
          <w:rFonts w:ascii="Maiandra GD" w:hAnsi="Maiandra GD"/>
          <w:sz w:val="22"/>
        </w:rPr>
        <w:t xml:space="preserve">How can the KNQF be used more effectively as the national anchor for aligning qualifications, learning outcomes, knowledge, skills, competence, progression, and comparability across the system? </w:t>
      </w:r>
      <w:r w:rsidRPr="00CE6B74">
        <w:rPr>
          <w:rFonts w:ascii="Maiandra GD" w:hAnsi="Maiandra GD"/>
          <w:i/>
          <w:sz w:val="22"/>
        </w:rPr>
        <w:t>(Addressed to TVETA)</w:t>
      </w:r>
    </w:p>
    <w:p w14:paraId="7F3C4912" w14:textId="77777777" w:rsidR="00DC4679" w:rsidRPr="00CE6B74" w:rsidRDefault="00DC4679" w:rsidP="00D31599">
      <w:pPr>
        <w:pStyle w:val="ListNumber"/>
        <w:numPr>
          <w:ilvl w:val="0"/>
          <w:numId w:val="17"/>
        </w:numPr>
        <w:spacing w:after="120" w:line="480" w:lineRule="auto"/>
        <w:jc w:val="both"/>
        <w:rPr>
          <w:rFonts w:ascii="Maiandra GD" w:hAnsi="Maiandra GD"/>
          <w:sz w:val="22"/>
        </w:rPr>
      </w:pPr>
      <w:r w:rsidRPr="00CE6B74">
        <w:rPr>
          <w:rFonts w:ascii="Maiandra GD" w:hAnsi="Maiandra GD"/>
          <w:sz w:val="22"/>
        </w:rPr>
        <w:t xml:space="preserve">How is Competency-Based Education in basic education reshaping curriculum design, and what does this mean for the development of future-ready learners and qualifications? </w:t>
      </w:r>
      <w:r w:rsidRPr="00CE6B74">
        <w:rPr>
          <w:rFonts w:ascii="Maiandra GD" w:hAnsi="Maiandra GD"/>
          <w:i/>
          <w:sz w:val="22"/>
        </w:rPr>
        <w:t>(Addressed to KNEC)</w:t>
      </w:r>
    </w:p>
    <w:p w14:paraId="46CC2AB4" w14:textId="77777777" w:rsidR="00DC4679" w:rsidRPr="00CE6B74" w:rsidRDefault="00DC4679" w:rsidP="00D31599">
      <w:pPr>
        <w:pStyle w:val="ListNumber"/>
        <w:numPr>
          <w:ilvl w:val="0"/>
          <w:numId w:val="17"/>
        </w:numPr>
        <w:spacing w:after="120" w:line="480" w:lineRule="auto"/>
        <w:jc w:val="both"/>
        <w:rPr>
          <w:rFonts w:ascii="Maiandra GD" w:hAnsi="Maiandra GD"/>
          <w:sz w:val="22"/>
        </w:rPr>
      </w:pPr>
      <w:r w:rsidRPr="00CE6B74">
        <w:rPr>
          <w:rFonts w:ascii="Maiandra GD" w:hAnsi="Maiandra GD"/>
          <w:sz w:val="22"/>
        </w:rPr>
        <w:t xml:space="preserve">How should assessment and certification systems evolve in a Competency-Based Education environment so that they measure demonstrated competence, application of learning, and learner progression rather than only recall of content? </w:t>
      </w:r>
      <w:r w:rsidRPr="00CE6B74">
        <w:rPr>
          <w:rFonts w:ascii="Maiandra GD" w:hAnsi="Maiandra GD"/>
          <w:i/>
          <w:sz w:val="22"/>
        </w:rPr>
        <w:t>(Addressed to TVET CDACC)</w:t>
      </w:r>
    </w:p>
    <w:p w14:paraId="218F1C46" w14:textId="77777777" w:rsidR="00DC4679" w:rsidRPr="00CE6B74" w:rsidRDefault="00DC4679" w:rsidP="00D31599">
      <w:pPr>
        <w:pStyle w:val="ListNumber"/>
        <w:numPr>
          <w:ilvl w:val="0"/>
          <w:numId w:val="17"/>
        </w:numPr>
        <w:spacing w:after="120" w:line="480" w:lineRule="auto"/>
        <w:jc w:val="both"/>
        <w:rPr>
          <w:rFonts w:ascii="Maiandra GD" w:hAnsi="Maiandra GD"/>
          <w:i/>
          <w:sz w:val="22"/>
        </w:rPr>
      </w:pPr>
      <w:r w:rsidRPr="00CE6B74">
        <w:rPr>
          <w:rFonts w:ascii="Maiandra GD" w:hAnsi="Maiandra GD"/>
          <w:sz w:val="22"/>
        </w:rPr>
        <w:t xml:space="preserve">What emerging skills should qualifications systems now prioritise in response to digital transformation, artificial intelligence, the green transition, and changing economic realities? </w:t>
      </w:r>
      <w:r w:rsidRPr="00CE6B74">
        <w:rPr>
          <w:rFonts w:ascii="Maiandra GD" w:hAnsi="Maiandra GD"/>
          <w:i/>
          <w:sz w:val="22"/>
        </w:rPr>
        <w:t>(Addressed to KICD, TVET CDACC)</w:t>
      </w:r>
    </w:p>
    <w:p w14:paraId="0A3C7DF4" w14:textId="77777777" w:rsidR="00DC4679" w:rsidRPr="00CE6B74" w:rsidRDefault="00DC4679" w:rsidP="00D31599">
      <w:pPr>
        <w:pStyle w:val="ListNumber"/>
        <w:numPr>
          <w:ilvl w:val="0"/>
          <w:numId w:val="17"/>
        </w:numPr>
        <w:spacing w:after="120" w:line="480" w:lineRule="auto"/>
        <w:jc w:val="both"/>
        <w:rPr>
          <w:rFonts w:ascii="Maiandra GD" w:hAnsi="Maiandra GD"/>
          <w:i/>
          <w:sz w:val="22"/>
        </w:rPr>
      </w:pPr>
      <w:r w:rsidRPr="00CE6B74">
        <w:rPr>
          <w:rFonts w:ascii="Maiandra GD" w:hAnsi="Maiandra GD"/>
          <w:sz w:val="22"/>
        </w:rPr>
        <w:t xml:space="preserve">How can labour-market intelligence, employer feedback, and skills anticipation be used more deliberately to inform qualification design, curriculum review, and assessment reform? </w:t>
      </w:r>
      <w:r w:rsidRPr="00CE6B74">
        <w:rPr>
          <w:rFonts w:ascii="Maiandra GD" w:hAnsi="Maiandra GD"/>
          <w:i/>
          <w:sz w:val="22"/>
        </w:rPr>
        <w:t>(Addressed to KICD, TVET CDACC)</w:t>
      </w:r>
    </w:p>
    <w:p w14:paraId="4DB8A8EB" w14:textId="77777777" w:rsidR="00DC4679" w:rsidRPr="00CE6B74" w:rsidRDefault="00DC4679" w:rsidP="00D31599">
      <w:pPr>
        <w:pStyle w:val="ListNumber"/>
        <w:numPr>
          <w:ilvl w:val="0"/>
          <w:numId w:val="17"/>
        </w:numPr>
        <w:spacing w:after="120" w:line="480" w:lineRule="auto"/>
        <w:jc w:val="both"/>
        <w:rPr>
          <w:rFonts w:ascii="Maiandra GD" w:hAnsi="Maiandra GD"/>
          <w:i/>
          <w:sz w:val="22"/>
        </w:rPr>
      </w:pPr>
      <w:r w:rsidRPr="00CE6B74">
        <w:rPr>
          <w:rFonts w:ascii="Maiandra GD" w:hAnsi="Maiandra GD"/>
          <w:sz w:val="22"/>
        </w:rPr>
        <w:t>How can professional qualifications remain credible, rigorous, and responsive to evolving occupational standards, industry expectations, and emerging skills in a competency-driven economy? (</w:t>
      </w:r>
      <w:r w:rsidRPr="00CE6B74">
        <w:rPr>
          <w:rFonts w:ascii="Maiandra GD" w:hAnsi="Maiandra GD"/>
          <w:i/>
          <w:sz w:val="22"/>
        </w:rPr>
        <w:t>Addressed to KASNEB)</w:t>
      </w:r>
    </w:p>
    <w:p w14:paraId="403530D0" w14:textId="7707DA4F" w:rsidR="00DC4679" w:rsidRPr="00CE6B74" w:rsidRDefault="00DC4679" w:rsidP="00D31599">
      <w:pPr>
        <w:pStyle w:val="ListNumber"/>
        <w:numPr>
          <w:ilvl w:val="0"/>
          <w:numId w:val="17"/>
        </w:numPr>
        <w:spacing w:after="120" w:line="480" w:lineRule="auto"/>
        <w:jc w:val="both"/>
        <w:rPr>
          <w:rFonts w:ascii="Maiandra GD" w:hAnsi="Maiandra GD"/>
          <w:sz w:val="22"/>
        </w:rPr>
      </w:pPr>
      <w:r w:rsidRPr="00CE6B74">
        <w:rPr>
          <w:rFonts w:ascii="Maiandra GD" w:hAnsi="Maiandra GD"/>
          <w:sz w:val="22"/>
        </w:rPr>
        <w:t>What regulatory, accreditation, and quality assurance conditions are necessary to ensure that competency-based and future-oriented qualifications are delivered consistently and to the expected standard across institutions? (</w:t>
      </w:r>
      <w:r w:rsidRPr="00CE6B74">
        <w:rPr>
          <w:rFonts w:ascii="Maiandra GD" w:hAnsi="Maiandra GD"/>
          <w:i/>
          <w:sz w:val="22"/>
        </w:rPr>
        <w:t>Addressed to TVETA)</w:t>
      </w:r>
    </w:p>
    <w:p w14:paraId="539E758D" w14:textId="034EFDF7" w:rsidR="00DC4679" w:rsidRPr="00CE6B74" w:rsidRDefault="00DC4679" w:rsidP="00D31599">
      <w:pPr>
        <w:pStyle w:val="ListNumber"/>
        <w:numPr>
          <w:ilvl w:val="0"/>
          <w:numId w:val="17"/>
        </w:numPr>
        <w:spacing w:after="120" w:line="480" w:lineRule="auto"/>
        <w:jc w:val="both"/>
        <w:rPr>
          <w:rFonts w:ascii="Maiandra GD" w:hAnsi="Maiandra GD"/>
          <w:sz w:val="22"/>
        </w:rPr>
      </w:pPr>
      <w:r w:rsidRPr="00CE6B74">
        <w:rPr>
          <w:rFonts w:ascii="Maiandra GD" w:hAnsi="Maiandra GD"/>
          <w:sz w:val="22"/>
        </w:rPr>
        <w:t xml:space="preserve">How can the qualifications system better support articulation, credit transfer, progression, recognition of prior learning, micro-credentials, and lifelong learning pathways in a changing world of work? </w:t>
      </w:r>
      <w:r w:rsidRPr="00CE6B74">
        <w:rPr>
          <w:rFonts w:ascii="Maiandra GD" w:hAnsi="Maiandra GD"/>
          <w:i/>
          <w:sz w:val="22"/>
        </w:rPr>
        <w:t>(Addressed to KASNEB, TVETA, TVET CDACC, KNEC)</w:t>
      </w:r>
    </w:p>
    <w:p w14:paraId="011081D6" w14:textId="77777777" w:rsidR="00DC4679" w:rsidRPr="00CE6B74" w:rsidRDefault="00DC4679" w:rsidP="00D31599">
      <w:pPr>
        <w:pStyle w:val="ListNumber"/>
        <w:numPr>
          <w:ilvl w:val="0"/>
          <w:numId w:val="17"/>
        </w:numPr>
        <w:spacing w:after="120" w:line="480" w:lineRule="auto"/>
        <w:jc w:val="both"/>
        <w:rPr>
          <w:rFonts w:ascii="Maiandra GD" w:hAnsi="Maiandra GD"/>
          <w:sz w:val="22"/>
        </w:rPr>
      </w:pPr>
      <w:r w:rsidRPr="00CE6B74">
        <w:rPr>
          <w:rFonts w:ascii="Maiandra GD" w:hAnsi="Maiandra GD"/>
          <w:sz w:val="22"/>
        </w:rPr>
        <w:lastRenderedPageBreak/>
        <w:t xml:space="preserve">What reforms are needed across basic education, TVET, professional qualifications, and university education to ensure that qualifications collectively conform to KNQF and strengthen human capital for economic transformation and national growth? </w:t>
      </w:r>
      <w:r w:rsidRPr="00CE6B74">
        <w:rPr>
          <w:rFonts w:ascii="Maiandra GD" w:hAnsi="Maiandra GD"/>
          <w:i/>
          <w:sz w:val="22"/>
        </w:rPr>
        <w:t>(ALL)</w:t>
      </w:r>
    </w:p>
    <w:p w14:paraId="627B9F04" w14:textId="77777777"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cs="Tahoma"/>
          <w:b/>
          <w:bCs/>
          <w:sz w:val="22"/>
          <w:szCs w:val="22"/>
        </w:rPr>
        <w:t>Suggested</w:t>
      </w:r>
      <w:r w:rsidRPr="009E27C4">
        <w:rPr>
          <w:rFonts w:ascii="Maiandra GD" w:hAnsi="Maiandra GD"/>
          <w:b/>
          <w:bCs/>
          <w:sz w:val="22"/>
          <w:szCs w:val="22"/>
        </w:rPr>
        <w:t xml:space="preserve"> Moderator Framing</w:t>
      </w:r>
    </w:p>
    <w:tbl>
      <w:tblPr>
        <w:tblW w:w="0" w:type="auto"/>
        <w:jc w:val="center"/>
        <w:tblLook w:val="04A0" w:firstRow="1" w:lastRow="0" w:firstColumn="1" w:lastColumn="0" w:noHBand="0" w:noVBand="1"/>
      </w:tblPr>
      <w:tblGrid>
        <w:gridCol w:w="9893"/>
      </w:tblGrid>
      <w:tr w:rsidR="00DC4679" w:rsidRPr="00CE6B74" w14:paraId="2ACF7B42" w14:textId="77777777" w:rsidTr="000F369C">
        <w:trPr>
          <w:jc w:val="center"/>
        </w:trPr>
        <w:tc>
          <w:tcPr>
            <w:tcW w:w="9936" w:type="dxa"/>
            <w:shd w:val="clear" w:color="auto" w:fill="F3F7FB"/>
            <w:tcMar>
              <w:top w:w="120" w:type="dxa"/>
              <w:left w:w="160" w:type="dxa"/>
              <w:bottom w:w="120" w:type="dxa"/>
              <w:right w:w="160" w:type="dxa"/>
            </w:tcMar>
            <w:vAlign w:val="center"/>
          </w:tcPr>
          <w:p w14:paraId="3B905311" w14:textId="77777777" w:rsidR="00DC4679" w:rsidRPr="00CE6B74" w:rsidRDefault="00DC4679" w:rsidP="000F369C">
            <w:pPr>
              <w:spacing w:after="0" w:line="360" w:lineRule="auto"/>
              <w:jc w:val="both"/>
              <w:rPr>
                <w:rFonts w:ascii="Maiandra GD" w:hAnsi="Maiandra GD"/>
                <w:sz w:val="22"/>
              </w:rPr>
            </w:pPr>
            <w:r w:rsidRPr="00CE6B74">
              <w:rPr>
                <w:rFonts w:ascii="Maiandra GD" w:hAnsi="Maiandra GD"/>
                <w:b/>
                <w:color w:val="28435D"/>
                <w:sz w:val="22"/>
              </w:rPr>
              <w:t>With competency-based reforms already taking shape in Kenya, what more must be done to ensure that qualifications are consistently aligned to KNQF, emerging skills, labour market needs, and the country’s long-term development agenda?</w:t>
            </w:r>
          </w:p>
        </w:tc>
      </w:tr>
    </w:tbl>
    <w:p w14:paraId="74B862C6" w14:textId="77777777" w:rsidR="00DC4679" w:rsidRPr="00CE6B74" w:rsidRDefault="00DC4679" w:rsidP="00DC4679">
      <w:pPr>
        <w:spacing w:line="360" w:lineRule="auto"/>
        <w:jc w:val="both"/>
        <w:rPr>
          <w:rFonts w:ascii="Maiandra GD" w:hAnsi="Maiandra GD"/>
          <w:sz w:val="22"/>
        </w:rPr>
      </w:pPr>
    </w:p>
    <w:p w14:paraId="60B230ED" w14:textId="77777777" w:rsidR="00DC4679" w:rsidRPr="009E27C4" w:rsidRDefault="00DC4679" w:rsidP="00DC4679">
      <w:pPr>
        <w:pStyle w:val="Heading1"/>
        <w:numPr>
          <w:ilvl w:val="0"/>
          <w:numId w:val="15"/>
        </w:numPr>
        <w:spacing w:line="360" w:lineRule="auto"/>
        <w:ind w:left="360"/>
        <w:jc w:val="both"/>
        <w:rPr>
          <w:rFonts w:ascii="Maiandra GD" w:hAnsi="Maiandra GD"/>
          <w:b/>
          <w:bCs/>
          <w:sz w:val="22"/>
          <w:szCs w:val="22"/>
        </w:rPr>
      </w:pPr>
      <w:r w:rsidRPr="009E27C4">
        <w:rPr>
          <w:rFonts w:ascii="Maiandra GD" w:hAnsi="Maiandra GD"/>
          <w:b/>
          <w:bCs/>
          <w:sz w:val="22"/>
          <w:szCs w:val="22"/>
        </w:rPr>
        <w:t xml:space="preserve">Key </w:t>
      </w:r>
      <w:r w:rsidRPr="009E27C4">
        <w:rPr>
          <w:rFonts w:ascii="Maiandra GD" w:hAnsi="Maiandra GD" w:cs="Tahoma"/>
          <w:b/>
          <w:bCs/>
          <w:sz w:val="22"/>
          <w:szCs w:val="22"/>
        </w:rPr>
        <w:t>Closing</w:t>
      </w:r>
      <w:r w:rsidRPr="009E27C4">
        <w:rPr>
          <w:rFonts w:ascii="Maiandra GD" w:hAnsi="Maiandra GD"/>
          <w:b/>
          <w:bCs/>
          <w:sz w:val="22"/>
          <w:szCs w:val="22"/>
        </w:rPr>
        <w:t xml:space="preserve"> Message</w:t>
      </w:r>
    </w:p>
    <w:p w14:paraId="2F0BDCA0" w14:textId="77777777" w:rsidR="00DC4679" w:rsidRPr="00CE6B74" w:rsidRDefault="00DC4679" w:rsidP="00DC4679">
      <w:pPr>
        <w:spacing w:before="40" w:after="40" w:line="360" w:lineRule="auto"/>
        <w:ind w:left="288" w:right="288"/>
        <w:jc w:val="both"/>
        <w:rPr>
          <w:rFonts w:ascii="Maiandra GD" w:hAnsi="Maiandra GD"/>
          <w:sz w:val="22"/>
        </w:rPr>
      </w:pPr>
      <w:r w:rsidRPr="00CE6B74">
        <w:rPr>
          <w:rFonts w:ascii="Maiandra GD" w:hAnsi="Maiandra GD"/>
          <w:i/>
          <w:color w:val="2E4C64"/>
          <w:sz w:val="22"/>
        </w:rPr>
        <w:t>Kenya is already advancing competency-based reforms. The next imperative is to ensure that these reforms translate into a coherent qualifications system that produces competent, adaptable, and future-ready graduates who can drive economic transformation and national growth.</w:t>
      </w:r>
    </w:p>
    <w:p w14:paraId="2EF09D55" w14:textId="36CCF2EE" w:rsidR="00DC4679" w:rsidRDefault="00DC4679"/>
    <w:sectPr w:rsidR="00DC4679"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B01A8" w14:textId="77777777" w:rsidR="00850625" w:rsidRDefault="00850625">
      <w:pPr>
        <w:spacing w:after="0" w:line="240" w:lineRule="auto"/>
      </w:pPr>
      <w:r>
        <w:separator/>
      </w:r>
    </w:p>
  </w:endnote>
  <w:endnote w:type="continuationSeparator" w:id="0">
    <w:p w14:paraId="47157611" w14:textId="77777777" w:rsidR="00850625" w:rsidRDefault="00850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1A2C6224"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 xml:space="preserve">Panel </w:t>
        </w:r>
        <w:r w:rsidR="00A57107">
          <w:rPr>
            <w:rFonts w:ascii="Maiandra GD" w:hAnsi="Maiandra GD" w:cs="Tahoma"/>
            <w:sz w:val="20"/>
            <w:szCs w:val="20"/>
          </w:rPr>
          <w:t>V</w:t>
        </w:r>
        <w:r w:rsidRPr="000721E5">
          <w:rPr>
            <w:rFonts w:ascii="Maiandra GD" w:hAnsi="Maiandra GD" w:cs="Tahoma"/>
            <w:sz w:val="20"/>
            <w:szCs w:val="20"/>
          </w:rPr>
          <w:t xml:space="preserve">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748B" w14:textId="77777777" w:rsidR="00850625" w:rsidRDefault="00850625">
      <w:pPr>
        <w:spacing w:after="0" w:line="240" w:lineRule="auto"/>
      </w:pPr>
      <w:r>
        <w:separator/>
      </w:r>
    </w:p>
  </w:footnote>
  <w:footnote w:type="continuationSeparator" w:id="0">
    <w:p w14:paraId="1D49C3E3" w14:textId="77777777" w:rsidR="00850625" w:rsidRDefault="00850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92FC34C0"/>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190640"/>
    <w:multiLevelType w:val="hybridMultilevel"/>
    <w:tmpl w:val="4F9A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84603"/>
    <w:multiLevelType w:val="hybridMultilevel"/>
    <w:tmpl w:val="698A53D2"/>
    <w:lvl w:ilvl="0" w:tplc="2000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4"/>
  </w:num>
  <w:num w:numId="2" w16cid:durableId="2135978060">
    <w:abstractNumId w:val="19"/>
  </w:num>
  <w:num w:numId="3" w16cid:durableId="1228954275">
    <w:abstractNumId w:val="17"/>
  </w:num>
  <w:num w:numId="4" w16cid:durableId="894239198">
    <w:abstractNumId w:val="20"/>
  </w:num>
  <w:num w:numId="5" w16cid:durableId="12346004">
    <w:abstractNumId w:val="16"/>
  </w:num>
  <w:num w:numId="6" w16cid:durableId="2055617305">
    <w:abstractNumId w:val="9"/>
  </w:num>
  <w:num w:numId="7" w16cid:durableId="1598950558">
    <w:abstractNumId w:val="12"/>
  </w:num>
  <w:num w:numId="8" w16cid:durableId="1226599008">
    <w:abstractNumId w:val="11"/>
  </w:num>
  <w:num w:numId="9" w16cid:durableId="67923895">
    <w:abstractNumId w:val="15"/>
  </w:num>
  <w:num w:numId="10" w16cid:durableId="364253548">
    <w:abstractNumId w:val="7"/>
  </w:num>
  <w:num w:numId="11" w16cid:durableId="1625650713">
    <w:abstractNumId w:val="21"/>
  </w:num>
  <w:num w:numId="12" w16cid:durableId="2129660890">
    <w:abstractNumId w:val="3"/>
  </w:num>
  <w:num w:numId="13" w16cid:durableId="619839711">
    <w:abstractNumId w:val="1"/>
  </w:num>
  <w:num w:numId="14" w16cid:durableId="457919373">
    <w:abstractNumId w:val="0"/>
  </w:num>
  <w:num w:numId="15" w16cid:durableId="1702903615">
    <w:abstractNumId w:val="10"/>
  </w:num>
  <w:num w:numId="16" w16cid:durableId="1645239849">
    <w:abstractNumId w:val="13"/>
  </w:num>
  <w:num w:numId="17" w16cid:durableId="64645069">
    <w:abstractNumId w:val="18"/>
  </w:num>
  <w:num w:numId="18" w16cid:durableId="823620494">
    <w:abstractNumId w:val="2"/>
  </w:num>
  <w:num w:numId="19" w16cid:durableId="2107338375">
    <w:abstractNumId w:val="14"/>
  </w:num>
  <w:num w:numId="20" w16cid:durableId="644748987">
    <w:abstractNumId w:val="5"/>
  </w:num>
  <w:num w:numId="21" w16cid:durableId="90128320">
    <w:abstractNumId w:val="8"/>
  </w:num>
  <w:num w:numId="22" w16cid:durableId="1207795291">
    <w:abstractNumId w:val="22"/>
  </w:num>
  <w:num w:numId="23" w16cid:durableId="5181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21635"/>
    <w:rsid w:val="000252E6"/>
    <w:rsid w:val="00025AA0"/>
    <w:rsid w:val="00032A8D"/>
    <w:rsid w:val="000526B5"/>
    <w:rsid w:val="0006478B"/>
    <w:rsid w:val="00087D56"/>
    <w:rsid w:val="000A6BC9"/>
    <w:rsid w:val="000B0458"/>
    <w:rsid w:val="000B0495"/>
    <w:rsid w:val="000B0979"/>
    <w:rsid w:val="000D03DE"/>
    <w:rsid w:val="000E5BD7"/>
    <w:rsid w:val="000E60D9"/>
    <w:rsid w:val="000F4725"/>
    <w:rsid w:val="000F6451"/>
    <w:rsid w:val="00111D8C"/>
    <w:rsid w:val="00112A65"/>
    <w:rsid w:val="00112DF9"/>
    <w:rsid w:val="00115339"/>
    <w:rsid w:val="0012241C"/>
    <w:rsid w:val="00130011"/>
    <w:rsid w:val="00135476"/>
    <w:rsid w:val="00137F22"/>
    <w:rsid w:val="00140C27"/>
    <w:rsid w:val="00152020"/>
    <w:rsid w:val="001524D3"/>
    <w:rsid w:val="00163E60"/>
    <w:rsid w:val="00163FEA"/>
    <w:rsid w:val="001647E0"/>
    <w:rsid w:val="00196A85"/>
    <w:rsid w:val="001A4644"/>
    <w:rsid w:val="001A4CD2"/>
    <w:rsid w:val="001A6BF2"/>
    <w:rsid w:val="001A6F2B"/>
    <w:rsid w:val="001D54B1"/>
    <w:rsid w:val="001D6848"/>
    <w:rsid w:val="001F28D2"/>
    <w:rsid w:val="001F595D"/>
    <w:rsid w:val="00212C3D"/>
    <w:rsid w:val="00221B02"/>
    <w:rsid w:val="00267BE6"/>
    <w:rsid w:val="00281604"/>
    <w:rsid w:val="00286AE4"/>
    <w:rsid w:val="00292F76"/>
    <w:rsid w:val="00296664"/>
    <w:rsid w:val="002969EA"/>
    <w:rsid w:val="002B16F3"/>
    <w:rsid w:val="002B1D9E"/>
    <w:rsid w:val="002B30F6"/>
    <w:rsid w:val="002B54DD"/>
    <w:rsid w:val="002B7C2D"/>
    <w:rsid w:val="002D65E2"/>
    <w:rsid w:val="002D7B9D"/>
    <w:rsid w:val="002E2D22"/>
    <w:rsid w:val="003005FE"/>
    <w:rsid w:val="003007B5"/>
    <w:rsid w:val="00305E39"/>
    <w:rsid w:val="003105EB"/>
    <w:rsid w:val="00312D13"/>
    <w:rsid w:val="00315F22"/>
    <w:rsid w:val="003201C2"/>
    <w:rsid w:val="003273F2"/>
    <w:rsid w:val="003343DB"/>
    <w:rsid w:val="00336ECB"/>
    <w:rsid w:val="003438FC"/>
    <w:rsid w:val="00344E3B"/>
    <w:rsid w:val="00344F43"/>
    <w:rsid w:val="00352105"/>
    <w:rsid w:val="00356E15"/>
    <w:rsid w:val="0037204C"/>
    <w:rsid w:val="00383EE4"/>
    <w:rsid w:val="003A259F"/>
    <w:rsid w:val="003C2781"/>
    <w:rsid w:val="003D5577"/>
    <w:rsid w:val="003D7C0A"/>
    <w:rsid w:val="003E5A84"/>
    <w:rsid w:val="003E681E"/>
    <w:rsid w:val="003E6FBD"/>
    <w:rsid w:val="003F21C0"/>
    <w:rsid w:val="003F78C9"/>
    <w:rsid w:val="004113E7"/>
    <w:rsid w:val="004117B4"/>
    <w:rsid w:val="00431020"/>
    <w:rsid w:val="00434777"/>
    <w:rsid w:val="00434FCF"/>
    <w:rsid w:val="00435DFD"/>
    <w:rsid w:val="004600CE"/>
    <w:rsid w:val="004656C5"/>
    <w:rsid w:val="00465A22"/>
    <w:rsid w:val="004821F1"/>
    <w:rsid w:val="00483138"/>
    <w:rsid w:val="00492AF1"/>
    <w:rsid w:val="004A021B"/>
    <w:rsid w:val="004A0281"/>
    <w:rsid w:val="004A4F41"/>
    <w:rsid w:val="004C0C5C"/>
    <w:rsid w:val="004D76BF"/>
    <w:rsid w:val="004E1873"/>
    <w:rsid w:val="004F5F69"/>
    <w:rsid w:val="00506FDA"/>
    <w:rsid w:val="005124BE"/>
    <w:rsid w:val="00516836"/>
    <w:rsid w:val="00525441"/>
    <w:rsid w:val="00542F1E"/>
    <w:rsid w:val="0054642B"/>
    <w:rsid w:val="00546728"/>
    <w:rsid w:val="00557E3F"/>
    <w:rsid w:val="005611CA"/>
    <w:rsid w:val="00563FE9"/>
    <w:rsid w:val="005974CA"/>
    <w:rsid w:val="005A0C45"/>
    <w:rsid w:val="005A1DC3"/>
    <w:rsid w:val="005A3C59"/>
    <w:rsid w:val="005C4174"/>
    <w:rsid w:val="005D14DB"/>
    <w:rsid w:val="005D328C"/>
    <w:rsid w:val="005E4595"/>
    <w:rsid w:val="005E4666"/>
    <w:rsid w:val="00617B89"/>
    <w:rsid w:val="00621913"/>
    <w:rsid w:val="00642D33"/>
    <w:rsid w:val="00644490"/>
    <w:rsid w:val="00647A53"/>
    <w:rsid w:val="0067799A"/>
    <w:rsid w:val="00693900"/>
    <w:rsid w:val="00694C35"/>
    <w:rsid w:val="006B7FDC"/>
    <w:rsid w:val="006C02D5"/>
    <w:rsid w:val="006C1D8A"/>
    <w:rsid w:val="006D12EC"/>
    <w:rsid w:val="006D3F75"/>
    <w:rsid w:val="006D4DA2"/>
    <w:rsid w:val="006F719D"/>
    <w:rsid w:val="00700F56"/>
    <w:rsid w:val="00706E13"/>
    <w:rsid w:val="00706F0B"/>
    <w:rsid w:val="00716625"/>
    <w:rsid w:val="00723C06"/>
    <w:rsid w:val="00727551"/>
    <w:rsid w:val="00750293"/>
    <w:rsid w:val="00752957"/>
    <w:rsid w:val="00757C3E"/>
    <w:rsid w:val="00762444"/>
    <w:rsid w:val="00774FE9"/>
    <w:rsid w:val="00777EF7"/>
    <w:rsid w:val="00781E77"/>
    <w:rsid w:val="00797C09"/>
    <w:rsid w:val="007B25E4"/>
    <w:rsid w:val="007D19BB"/>
    <w:rsid w:val="007D450E"/>
    <w:rsid w:val="007F605D"/>
    <w:rsid w:val="00801DF3"/>
    <w:rsid w:val="00814914"/>
    <w:rsid w:val="008217C6"/>
    <w:rsid w:val="008273EC"/>
    <w:rsid w:val="00841EBA"/>
    <w:rsid w:val="00843140"/>
    <w:rsid w:val="008465B9"/>
    <w:rsid w:val="00850625"/>
    <w:rsid w:val="008533BA"/>
    <w:rsid w:val="00857122"/>
    <w:rsid w:val="00870C68"/>
    <w:rsid w:val="00872411"/>
    <w:rsid w:val="008851EC"/>
    <w:rsid w:val="00894091"/>
    <w:rsid w:val="008964DA"/>
    <w:rsid w:val="008B4A64"/>
    <w:rsid w:val="008C17C8"/>
    <w:rsid w:val="008C650F"/>
    <w:rsid w:val="008D284F"/>
    <w:rsid w:val="008D2A99"/>
    <w:rsid w:val="008E4243"/>
    <w:rsid w:val="008E557E"/>
    <w:rsid w:val="008E589D"/>
    <w:rsid w:val="008E68D4"/>
    <w:rsid w:val="008E6B11"/>
    <w:rsid w:val="008F1399"/>
    <w:rsid w:val="008F7198"/>
    <w:rsid w:val="0091531F"/>
    <w:rsid w:val="00916E8D"/>
    <w:rsid w:val="00937B11"/>
    <w:rsid w:val="00940D22"/>
    <w:rsid w:val="009619F9"/>
    <w:rsid w:val="00965C39"/>
    <w:rsid w:val="009719BC"/>
    <w:rsid w:val="0097250B"/>
    <w:rsid w:val="009861F8"/>
    <w:rsid w:val="00987CE3"/>
    <w:rsid w:val="009A6B86"/>
    <w:rsid w:val="009A7752"/>
    <w:rsid w:val="009C707F"/>
    <w:rsid w:val="009D0372"/>
    <w:rsid w:val="009D231D"/>
    <w:rsid w:val="009D6A08"/>
    <w:rsid w:val="009D6E94"/>
    <w:rsid w:val="009E27C4"/>
    <w:rsid w:val="009F6B6A"/>
    <w:rsid w:val="00A0194B"/>
    <w:rsid w:val="00A0508F"/>
    <w:rsid w:val="00A22390"/>
    <w:rsid w:val="00A22F87"/>
    <w:rsid w:val="00A342F7"/>
    <w:rsid w:val="00A36646"/>
    <w:rsid w:val="00A4372C"/>
    <w:rsid w:val="00A47191"/>
    <w:rsid w:val="00A54B69"/>
    <w:rsid w:val="00A57107"/>
    <w:rsid w:val="00A71742"/>
    <w:rsid w:val="00A74BA9"/>
    <w:rsid w:val="00A938A7"/>
    <w:rsid w:val="00AA73E3"/>
    <w:rsid w:val="00AA7AC1"/>
    <w:rsid w:val="00AB1EFC"/>
    <w:rsid w:val="00AB3D05"/>
    <w:rsid w:val="00AC068F"/>
    <w:rsid w:val="00AC0748"/>
    <w:rsid w:val="00AC25A1"/>
    <w:rsid w:val="00AC4F3E"/>
    <w:rsid w:val="00AD2ADE"/>
    <w:rsid w:val="00AD56AC"/>
    <w:rsid w:val="00AD6947"/>
    <w:rsid w:val="00AD78AF"/>
    <w:rsid w:val="00AE1270"/>
    <w:rsid w:val="00B0435E"/>
    <w:rsid w:val="00B155DC"/>
    <w:rsid w:val="00B20A88"/>
    <w:rsid w:val="00B33260"/>
    <w:rsid w:val="00B42A2B"/>
    <w:rsid w:val="00B45F81"/>
    <w:rsid w:val="00B52B37"/>
    <w:rsid w:val="00B65686"/>
    <w:rsid w:val="00B65D82"/>
    <w:rsid w:val="00B9029A"/>
    <w:rsid w:val="00BA43E6"/>
    <w:rsid w:val="00BA7F40"/>
    <w:rsid w:val="00BB1E28"/>
    <w:rsid w:val="00BB5E7E"/>
    <w:rsid w:val="00BC7617"/>
    <w:rsid w:val="00BF69B6"/>
    <w:rsid w:val="00C05A08"/>
    <w:rsid w:val="00C1510B"/>
    <w:rsid w:val="00C17103"/>
    <w:rsid w:val="00C430FB"/>
    <w:rsid w:val="00C46723"/>
    <w:rsid w:val="00C51273"/>
    <w:rsid w:val="00C6091A"/>
    <w:rsid w:val="00C60E15"/>
    <w:rsid w:val="00C6246C"/>
    <w:rsid w:val="00C65066"/>
    <w:rsid w:val="00C7323D"/>
    <w:rsid w:val="00C86AF8"/>
    <w:rsid w:val="00CA4AE8"/>
    <w:rsid w:val="00CC130D"/>
    <w:rsid w:val="00CD513B"/>
    <w:rsid w:val="00CE3791"/>
    <w:rsid w:val="00CF1225"/>
    <w:rsid w:val="00D00554"/>
    <w:rsid w:val="00D05209"/>
    <w:rsid w:val="00D2153A"/>
    <w:rsid w:val="00D21B7C"/>
    <w:rsid w:val="00D24E28"/>
    <w:rsid w:val="00D311C8"/>
    <w:rsid w:val="00D31599"/>
    <w:rsid w:val="00D436E6"/>
    <w:rsid w:val="00D438E4"/>
    <w:rsid w:val="00D5057E"/>
    <w:rsid w:val="00D63B01"/>
    <w:rsid w:val="00D71CE4"/>
    <w:rsid w:val="00D71D3D"/>
    <w:rsid w:val="00D81802"/>
    <w:rsid w:val="00D95CA0"/>
    <w:rsid w:val="00DA2192"/>
    <w:rsid w:val="00DC3D51"/>
    <w:rsid w:val="00DC4679"/>
    <w:rsid w:val="00DC4CD3"/>
    <w:rsid w:val="00DD4CA9"/>
    <w:rsid w:val="00DD6698"/>
    <w:rsid w:val="00DE5C1E"/>
    <w:rsid w:val="00DF10AE"/>
    <w:rsid w:val="00DF7061"/>
    <w:rsid w:val="00E2769F"/>
    <w:rsid w:val="00E27DCB"/>
    <w:rsid w:val="00E3632C"/>
    <w:rsid w:val="00E37E3F"/>
    <w:rsid w:val="00E47E4C"/>
    <w:rsid w:val="00E50F60"/>
    <w:rsid w:val="00E60BA3"/>
    <w:rsid w:val="00E714C3"/>
    <w:rsid w:val="00E92319"/>
    <w:rsid w:val="00EA72C3"/>
    <w:rsid w:val="00EE1C44"/>
    <w:rsid w:val="00EE68BD"/>
    <w:rsid w:val="00F14182"/>
    <w:rsid w:val="00F24D35"/>
    <w:rsid w:val="00F25F5E"/>
    <w:rsid w:val="00F34631"/>
    <w:rsid w:val="00F428B3"/>
    <w:rsid w:val="00F61FFE"/>
    <w:rsid w:val="00F7335D"/>
    <w:rsid w:val="00FA09A9"/>
    <w:rsid w:val="00FA2D00"/>
    <w:rsid w:val="00FB19AC"/>
    <w:rsid w:val="00FC2BFA"/>
    <w:rsid w:val="00FE5383"/>
    <w:rsid w:val="00FF0113"/>
    <w:rsid w:val="00FF4203"/>
    <w:rsid w:val="00FF5FD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4"/>
  </w:style>
  <w:style w:type="paragraph" w:styleId="Footer">
    <w:name w:val="footer"/>
    <w:basedOn w:val="Normal"/>
    <w:link w:val="FooterChar"/>
    <w:uiPriority w:val="99"/>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1652</Words>
  <Characters>11070</Characters>
  <Application>Microsoft Office Word</Application>
  <DocSecurity>0</DocSecurity>
  <Lines>153</Lines>
  <Paragraphs>31</Paragraphs>
  <ScaleCrop>false</ScaleCrop>
  <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19</cp:revision>
  <dcterms:created xsi:type="dcterms:W3CDTF">2026-05-06T17:35:00Z</dcterms:created>
  <dcterms:modified xsi:type="dcterms:W3CDTF">2026-05-08T05:36:00Z</dcterms:modified>
</cp:coreProperties>
</file>