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2073A" w14:textId="77777777" w:rsidR="00DC4679" w:rsidRPr="00DC4679" w:rsidRDefault="00DC4679" w:rsidP="00DC4679">
      <w:pPr>
        <w:pStyle w:val="Title"/>
        <w:pBdr>
          <w:bottom w:val="single" w:sz="8" w:space="4" w:color="4472C4" w:themeColor="accent1"/>
        </w:pBdr>
        <w:spacing w:after="120" w:line="360" w:lineRule="auto"/>
        <w:jc w:val="center"/>
        <w:rPr>
          <w:rFonts w:ascii="Maiandra GD" w:hAnsi="Maiandra GD" w:cs="Tahoma"/>
          <w:b/>
          <w:color w:val="1E4A79"/>
          <w:spacing w:val="5"/>
          <w:sz w:val="28"/>
          <w:szCs w:val="28"/>
          <w14:ligatures w14:val="none"/>
        </w:rPr>
      </w:pPr>
      <w:r w:rsidRPr="00DC4679">
        <w:rPr>
          <w:rFonts w:ascii="Maiandra GD" w:hAnsi="Maiandra GD" w:cs="Tahoma"/>
          <w:b/>
          <w:color w:val="1E4A79"/>
          <w:spacing w:val="5"/>
          <w:sz w:val="28"/>
          <w:szCs w:val="28"/>
          <w14:ligatures w14:val="none"/>
        </w:rPr>
        <w:t>SESSION CONCEPT NOTE IV</w:t>
      </w:r>
    </w:p>
    <w:p w14:paraId="6ACBFBD5" w14:textId="77777777" w:rsidR="00DC4679" w:rsidRPr="00C35158" w:rsidRDefault="00DC4679" w:rsidP="00DC4679">
      <w:pPr>
        <w:pStyle w:val="Subtitle"/>
        <w:jc w:val="center"/>
        <w:rPr>
          <w:rFonts w:ascii="Maiandra GD" w:hAnsi="Maiandra GD"/>
          <w:szCs w:val="22"/>
        </w:rPr>
      </w:pPr>
      <w:r w:rsidRPr="00C35158">
        <w:rPr>
          <w:rFonts w:ascii="Maiandra GD" w:hAnsi="Maiandra GD"/>
          <w:szCs w:val="22"/>
        </w:rPr>
        <w:t>Panel IV the 1st National Qualifications Conference 2026</w:t>
      </w:r>
    </w:p>
    <w:tbl>
      <w:tblPr>
        <w:tblStyle w:val="TableGrid"/>
        <w:tblW w:w="9895" w:type="dxa"/>
        <w:jc w:val="center"/>
        <w:tblLook w:val="04A0" w:firstRow="1" w:lastRow="0" w:firstColumn="1" w:lastColumn="0" w:noHBand="0" w:noVBand="1"/>
      </w:tblPr>
      <w:tblGrid>
        <w:gridCol w:w="2592"/>
        <w:gridCol w:w="7303"/>
      </w:tblGrid>
      <w:tr w:rsidR="00DC4679" w:rsidRPr="00C35158" w14:paraId="5C9B6A54" w14:textId="77777777" w:rsidTr="000F369C">
        <w:trPr>
          <w:jc w:val="center"/>
        </w:trPr>
        <w:tc>
          <w:tcPr>
            <w:tcW w:w="2592" w:type="dxa"/>
            <w:shd w:val="clear" w:color="auto" w:fill="D9E7F5"/>
            <w:tcMar>
              <w:top w:w="80" w:type="dxa"/>
              <w:left w:w="120" w:type="dxa"/>
              <w:bottom w:w="80" w:type="dxa"/>
              <w:right w:w="120" w:type="dxa"/>
            </w:tcMar>
            <w:vAlign w:val="center"/>
          </w:tcPr>
          <w:p w14:paraId="2E890A53" w14:textId="77777777" w:rsidR="00DC4679" w:rsidRPr="00C35158" w:rsidRDefault="00DC4679" w:rsidP="000F369C">
            <w:pPr>
              <w:spacing w:line="360" w:lineRule="auto"/>
              <w:jc w:val="both"/>
              <w:rPr>
                <w:rFonts w:ascii="Maiandra GD" w:hAnsi="Maiandra GD"/>
              </w:rPr>
            </w:pPr>
            <w:r w:rsidRPr="00C35158">
              <w:rPr>
                <w:rFonts w:ascii="Maiandra GD" w:hAnsi="Maiandra GD"/>
                <w:b/>
              </w:rPr>
              <w:t>Session title</w:t>
            </w:r>
          </w:p>
        </w:tc>
        <w:tc>
          <w:tcPr>
            <w:tcW w:w="7303" w:type="dxa"/>
            <w:tcMar>
              <w:top w:w="80" w:type="dxa"/>
              <w:left w:w="120" w:type="dxa"/>
              <w:bottom w:w="80" w:type="dxa"/>
              <w:right w:w="120" w:type="dxa"/>
            </w:tcMar>
            <w:vAlign w:val="center"/>
          </w:tcPr>
          <w:p w14:paraId="5A5DD403" w14:textId="77777777" w:rsidR="00DC4679" w:rsidRPr="00C35158" w:rsidRDefault="00DC4679" w:rsidP="000F369C">
            <w:pPr>
              <w:spacing w:line="276" w:lineRule="auto"/>
              <w:jc w:val="both"/>
              <w:rPr>
                <w:rFonts w:ascii="Maiandra GD" w:hAnsi="Maiandra GD"/>
              </w:rPr>
            </w:pPr>
            <w:r w:rsidRPr="001118F7">
              <w:rPr>
                <w:rFonts w:ascii="Maiandra GD" w:hAnsi="Maiandra GD"/>
                <w:b/>
                <w:bCs/>
              </w:rPr>
              <w:t>Keynote Address 4:</w:t>
            </w:r>
            <w:r w:rsidRPr="00C35158">
              <w:rPr>
                <w:rFonts w:ascii="Maiandra GD" w:hAnsi="Maiandra GD"/>
              </w:rPr>
              <w:t xml:space="preserve"> From Qualifications to Jobs: Building African Skills Systems for Employability, Mobility and Lifelong Learning</w:t>
            </w:r>
          </w:p>
        </w:tc>
      </w:tr>
      <w:tr w:rsidR="00DC4679" w:rsidRPr="00C35158" w14:paraId="36A7F4FD" w14:textId="77777777" w:rsidTr="000F369C">
        <w:trPr>
          <w:jc w:val="center"/>
        </w:trPr>
        <w:tc>
          <w:tcPr>
            <w:tcW w:w="2592" w:type="dxa"/>
            <w:shd w:val="clear" w:color="auto" w:fill="D9E7F5"/>
            <w:tcMar>
              <w:top w:w="80" w:type="dxa"/>
              <w:left w:w="120" w:type="dxa"/>
              <w:bottom w:w="80" w:type="dxa"/>
              <w:right w:w="120" w:type="dxa"/>
            </w:tcMar>
            <w:vAlign w:val="center"/>
          </w:tcPr>
          <w:p w14:paraId="514B004A" w14:textId="77777777" w:rsidR="00DC4679" w:rsidRPr="00C35158" w:rsidRDefault="00DC4679" w:rsidP="000F369C">
            <w:pPr>
              <w:spacing w:line="360" w:lineRule="auto"/>
              <w:jc w:val="both"/>
              <w:rPr>
                <w:rFonts w:ascii="Maiandra GD" w:hAnsi="Maiandra GD"/>
              </w:rPr>
            </w:pPr>
            <w:r w:rsidRPr="00C35158">
              <w:rPr>
                <w:rFonts w:ascii="Maiandra GD" w:hAnsi="Maiandra GD"/>
                <w:b/>
              </w:rPr>
              <w:t>Proposed duration</w:t>
            </w:r>
          </w:p>
        </w:tc>
        <w:tc>
          <w:tcPr>
            <w:tcW w:w="7303" w:type="dxa"/>
            <w:tcMar>
              <w:top w:w="80" w:type="dxa"/>
              <w:left w:w="120" w:type="dxa"/>
              <w:bottom w:w="80" w:type="dxa"/>
              <w:right w:w="120" w:type="dxa"/>
            </w:tcMar>
            <w:vAlign w:val="center"/>
          </w:tcPr>
          <w:p w14:paraId="455706AD" w14:textId="4CFF2308" w:rsidR="00DC4679" w:rsidRPr="00C35158" w:rsidRDefault="001118F7" w:rsidP="000F369C">
            <w:pPr>
              <w:spacing w:line="276" w:lineRule="auto"/>
              <w:jc w:val="both"/>
              <w:rPr>
                <w:rFonts w:ascii="Maiandra GD" w:hAnsi="Maiandra GD"/>
              </w:rPr>
            </w:pPr>
            <w:r w:rsidRPr="001118F7">
              <w:rPr>
                <w:rFonts w:ascii="Maiandra GD" w:hAnsi="Maiandra GD"/>
                <w:b/>
                <w:bCs/>
              </w:rPr>
              <w:t>1</w:t>
            </w:r>
            <w:r>
              <w:rPr>
                <w:rFonts w:ascii="Maiandra GD" w:hAnsi="Maiandra GD"/>
              </w:rPr>
              <w:t xml:space="preserve"> Hour </w:t>
            </w:r>
            <w:r w:rsidR="00575E8F">
              <w:rPr>
                <w:rFonts w:ascii="Maiandra GD" w:hAnsi="Maiandra GD"/>
                <w:b/>
                <w:bCs/>
              </w:rPr>
              <w:t>3</w:t>
            </w:r>
            <w:r w:rsidRPr="001118F7">
              <w:rPr>
                <w:rFonts w:ascii="Maiandra GD" w:hAnsi="Maiandra GD"/>
                <w:b/>
                <w:bCs/>
              </w:rPr>
              <w:t>0</w:t>
            </w:r>
            <w:r>
              <w:rPr>
                <w:rFonts w:ascii="Maiandra GD" w:hAnsi="Maiandra GD"/>
              </w:rPr>
              <w:t xml:space="preserve"> M</w:t>
            </w:r>
            <w:r w:rsidR="00DC4679" w:rsidRPr="00C35158">
              <w:rPr>
                <w:rFonts w:ascii="Maiandra GD" w:hAnsi="Maiandra GD"/>
              </w:rPr>
              <w:t>inutes</w:t>
            </w:r>
          </w:p>
        </w:tc>
      </w:tr>
      <w:tr w:rsidR="00DC4679" w:rsidRPr="00C35158" w14:paraId="18DFC3DA" w14:textId="77777777" w:rsidTr="000F369C">
        <w:trPr>
          <w:jc w:val="center"/>
        </w:trPr>
        <w:tc>
          <w:tcPr>
            <w:tcW w:w="2592" w:type="dxa"/>
            <w:shd w:val="clear" w:color="auto" w:fill="D9E7F5"/>
            <w:tcMar>
              <w:top w:w="80" w:type="dxa"/>
              <w:left w:w="120" w:type="dxa"/>
              <w:bottom w:w="80" w:type="dxa"/>
              <w:right w:w="120" w:type="dxa"/>
            </w:tcMar>
            <w:vAlign w:val="center"/>
          </w:tcPr>
          <w:p w14:paraId="646E5517" w14:textId="77777777" w:rsidR="00DC4679" w:rsidRPr="00C35158" w:rsidRDefault="00DC4679" w:rsidP="000F369C">
            <w:pPr>
              <w:spacing w:line="360" w:lineRule="auto"/>
              <w:jc w:val="both"/>
              <w:rPr>
                <w:rFonts w:ascii="Maiandra GD" w:hAnsi="Maiandra GD"/>
              </w:rPr>
            </w:pPr>
            <w:r w:rsidRPr="00C35158">
              <w:rPr>
                <w:rFonts w:ascii="Maiandra GD" w:hAnsi="Maiandra GD"/>
                <w:b/>
              </w:rPr>
              <w:t>Format</w:t>
            </w:r>
          </w:p>
        </w:tc>
        <w:tc>
          <w:tcPr>
            <w:tcW w:w="7303" w:type="dxa"/>
            <w:tcMar>
              <w:top w:w="80" w:type="dxa"/>
              <w:left w:w="120" w:type="dxa"/>
              <w:bottom w:w="80" w:type="dxa"/>
              <w:right w:w="120" w:type="dxa"/>
            </w:tcMar>
            <w:vAlign w:val="center"/>
          </w:tcPr>
          <w:p w14:paraId="77C3429F" w14:textId="77777777" w:rsidR="00DC4679" w:rsidRPr="00C35158" w:rsidRDefault="00DC4679" w:rsidP="000F369C">
            <w:pPr>
              <w:spacing w:line="276" w:lineRule="auto"/>
              <w:jc w:val="both"/>
              <w:rPr>
                <w:rFonts w:ascii="Maiandra GD" w:hAnsi="Maiandra GD"/>
              </w:rPr>
            </w:pPr>
            <w:r w:rsidRPr="00C35158">
              <w:rPr>
                <w:rFonts w:ascii="Maiandra GD" w:hAnsi="Maiandra GD"/>
              </w:rPr>
              <w:t>Moderated high-level policy panel with audience engagement</w:t>
            </w:r>
          </w:p>
        </w:tc>
      </w:tr>
    </w:tbl>
    <w:p w14:paraId="6FC3C791" w14:textId="77777777" w:rsidR="00DC4679" w:rsidRPr="005B151B" w:rsidRDefault="00DC4679" w:rsidP="00DC4679">
      <w:pPr>
        <w:pStyle w:val="Heading1"/>
        <w:numPr>
          <w:ilvl w:val="0"/>
          <w:numId w:val="11"/>
        </w:numPr>
        <w:tabs>
          <w:tab w:val="num" w:pos="360"/>
        </w:tabs>
        <w:ind w:left="360" w:firstLine="0"/>
        <w:jc w:val="both"/>
        <w:rPr>
          <w:rFonts w:ascii="Maiandra GD" w:hAnsi="Maiandra GD"/>
          <w:b/>
          <w:bCs/>
          <w:sz w:val="22"/>
          <w:szCs w:val="22"/>
        </w:rPr>
      </w:pPr>
      <w:r w:rsidRPr="005B151B">
        <w:rPr>
          <w:rFonts w:ascii="Maiandra GD" w:hAnsi="Maiandra GD" w:cs="Times New Roman"/>
          <w:b/>
          <w:bCs/>
          <w:sz w:val="22"/>
          <w:szCs w:val="22"/>
        </w:rPr>
        <w:t>Background</w:t>
      </w:r>
      <w:r w:rsidRPr="005B151B">
        <w:rPr>
          <w:rFonts w:ascii="Maiandra GD" w:hAnsi="Maiandra GD"/>
          <w:b/>
          <w:bCs/>
          <w:sz w:val="22"/>
          <w:szCs w:val="22"/>
        </w:rPr>
        <w:t xml:space="preserve"> and Rationale</w:t>
      </w:r>
    </w:p>
    <w:p w14:paraId="44CBEE0D" w14:textId="77777777" w:rsidR="00DC4679" w:rsidRPr="00C35158" w:rsidRDefault="00DC4679" w:rsidP="00DC4679">
      <w:pPr>
        <w:pStyle w:val="NormalWeb"/>
        <w:spacing w:line="360" w:lineRule="auto"/>
        <w:jc w:val="both"/>
        <w:rPr>
          <w:rFonts w:ascii="Maiandra GD" w:hAnsi="Maiandra GD"/>
          <w:sz w:val="22"/>
          <w:szCs w:val="22"/>
        </w:rPr>
      </w:pPr>
      <w:r w:rsidRPr="00C35158">
        <w:rPr>
          <w:rFonts w:ascii="Maiandra GD" w:hAnsi="Maiandra GD"/>
          <w:sz w:val="22"/>
          <w:szCs w:val="22"/>
        </w:rPr>
        <w:t>Over the past two decades, National Qualifications Frameworks (NQFs) have evolved from tools for organising qualifications into strategic instruments for linking skills development to labour market outcomes. Increasingly, the value of a qualifications system is not measured solely by its structure or coherence, but by its ability to translate learning into employment, productivity, and economic opportunity.</w:t>
      </w:r>
    </w:p>
    <w:p w14:paraId="5E78439C" w14:textId="77777777" w:rsidR="00DC4679" w:rsidRPr="00C35158" w:rsidRDefault="00DC4679" w:rsidP="00DC4679">
      <w:pPr>
        <w:pStyle w:val="NormalWeb"/>
        <w:spacing w:line="360" w:lineRule="auto"/>
        <w:jc w:val="both"/>
        <w:rPr>
          <w:rFonts w:ascii="Maiandra GD" w:hAnsi="Maiandra GD"/>
          <w:sz w:val="22"/>
          <w:szCs w:val="22"/>
        </w:rPr>
      </w:pPr>
      <w:r w:rsidRPr="00C35158">
        <w:rPr>
          <w:rFonts w:ascii="Maiandra GD" w:hAnsi="Maiandra GD"/>
          <w:sz w:val="22"/>
          <w:szCs w:val="22"/>
        </w:rPr>
        <w:t>Across Africa, this challenge is particularly urgent. While significant progress has been made in expanding access to education and training, many countries continue to face persistent skills mismatches, youth unemployment, underemployment, and limited labour mobility. At the same time, a large proportion of skills development occurs within the informal economy, where learning is rarely recognised within formal qualifications systems.</w:t>
      </w:r>
    </w:p>
    <w:p w14:paraId="46C69E2C" w14:textId="77777777" w:rsidR="00DC4679" w:rsidRPr="00C35158" w:rsidRDefault="00DC4679" w:rsidP="00DC4679">
      <w:pPr>
        <w:pStyle w:val="NormalWeb"/>
        <w:spacing w:line="360" w:lineRule="auto"/>
        <w:jc w:val="both"/>
        <w:rPr>
          <w:rFonts w:ascii="Maiandra GD" w:hAnsi="Maiandra GD"/>
          <w:sz w:val="22"/>
          <w:szCs w:val="22"/>
        </w:rPr>
      </w:pPr>
      <w:r w:rsidRPr="00C35158">
        <w:rPr>
          <w:rFonts w:ascii="Maiandra GD" w:hAnsi="Maiandra GD"/>
          <w:sz w:val="22"/>
          <w:szCs w:val="22"/>
        </w:rPr>
        <w:t>Continental and regional initiatives—such as the African Continental Qualifications Framework (ACQF) and efforts within the East African Community (EAC)—are increasingly emphasising the importance of aligning qualifications systems with labour market needs, mobility, and lifelong learning. However, disconnects remain between training provision, qualifications design, employer expectations, and actual job opportunities.</w:t>
      </w:r>
    </w:p>
    <w:p w14:paraId="4CAEEA68" w14:textId="77777777" w:rsidR="00DC4679" w:rsidRPr="00C35158" w:rsidRDefault="00DC4679" w:rsidP="00DC4679">
      <w:pPr>
        <w:pStyle w:val="NormalWeb"/>
        <w:spacing w:line="360" w:lineRule="auto"/>
        <w:jc w:val="both"/>
        <w:rPr>
          <w:rFonts w:ascii="Maiandra GD" w:hAnsi="Maiandra GD"/>
          <w:sz w:val="22"/>
          <w:szCs w:val="22"/>
        </w:rPr>
      </w:pPr>
      <w:r w:rsidRPr="00C35158">
        <w:rPr>
          <w:rFonts w:ascii="Maiandra GD" w:hAnsi="Maiandra GD"/>
          <w:sz w:val="22"/>
          <w:szCs w:val="22"/>
        </w:rPr>
        <w:t>In this context, qualifications frameworks must move beyond classification and comparability to function as active instruments for employability and labour market integration. This requires stronger alignment with labour market intelligence systems, employer engagement, competency-based approaches (CBET), work-based learning, and flexible pathways such as Recognition of Prior Learning (RPL), micro-credentials, and modularisation.</w:t>
      </w:r>
    </w:p>
    <w:p w14:paraId="6D636B40" w14:textId="77777777" w:rsidR="00DC4679" w:rsidRPr="00C35158" w:rsidRDefault="00DC4679" w:rsidP="00DC4679">
      <w:pPr>
        <w:pStyle w:val="NormalWeb"/>
        <w:spacing w:line="360" w:lineRule="auto"/>
        <w:jc w:val="both"/>
        <w:rPr>
          <w:rFonts w:ascii="Maiandra GD" w:hAnsi="Maiandra GD"/>
          <w:sz w:val="22"/>
          <w:szCs w:val="22"/>
        </w:rPr>
      </w:pPr>
      <w:r w:rsidRPr="00C35158">
        <w:rPr>
          <w:rFonts w:ascii="Maiandra GD" w:hAnsi="Maiandra GD"/>
          <w:sz w:val="22"/>
          <w:szCs w:val="22"/>
        </w:rPr>
        <w:t>For Kenya, this discussion is both timely and strategic. As the KNQF matures, there is increasing need to ensure that it not only structures qualifications, but also enables transitions into employment, supports mobility across sectors and borders, and facilitates lifelong learning in a dynamic economy.</w:t>
      </w:r>
    </w:p>
    <w:p w14:paraId="1A165D6E" w14:textId="77777777" w:rsidR="00DC4679" w:rsidRPr="00C35158" w:rsidRDefault="00DC4679" w:rsidP="00DC4679">
      <w:pPr>
        <w:pStyle w:val="NormalWeb"/>
        <w:spacing w:line="360" w:lineRule="auto"/>
        <w:jc w:val="both"/>
        <w:rPr>
          <w:rFonts w:ascii="Maiandra GD" w:hAnsi="Maiandra GD"/>
          <w:sz w:val="22"/>
          <w:szCs w:val="22"/>
        </w:rPr>
      </w:pPr>
      <w:r w:rsidRPr="00C35158">
        <w:rPr>
          <w:rFonts w:ascii="Maiandra GD" w:hAnsi="Maiandra GD"/>
          <w:sz w:val="22"/>
          <w:szCs w:val="22"/>
        </w:rPr>
        <w:lastRenderedPageBreak/>
        <w:t>This session therefore shifts the focus from qualifications as outputs to qualifications as pathways to jobs, examining the practical and systemic changes required to ensure that skills development leads to real economic and social outcomes.</w:t>
      </w:r>
    </w:p>
    <w:p w14:paraId="670AFD15" w14:textId="77777777" w:rsidR="00DC4679" w:rsidRPr="005B151B" w:rsidRDefault="00DC4679" w:rsidP="00DC4679">
      <w:pPr>
        <w:pStyle w:val="Heading1"/>
        <w:numPr>
          <w:ilvl w:val="0"/>
          <w:numId w:val="11"/>
        </w:numPr>
        <w:tabs>
          <w:tab w:val="num" w:pos="360"/>
        </w:tabs>
        <w:ind w:left="360" w:firstLine="0"/>
        <w:jc w:val="both"/>
        <w:rPr>
          <w:rFonts w:ascii="Maiandra GD" w:hAnsi="Maiandra GD"/>
          <w:b/>
          <w:bCs/>
          <w:sz w:val="22"/>
          <w:szCs w:val="22"/>
        </w:rPr>
      </w:pPr>
      <w:r w:rsidRPr="005B151B">
        <w:rPr>
          <w:rFonts w:ascii="Maiandra GD" w:hAnsi="Maiandra GD" w:cs="Times New Roman"/>
          <w:b/>
          <w:bCs/>
          <w:sz w:val="22"/>
          <w:szCs w:val="22"/>
        </w:rPr>
        <w:t>Session</w:t>
      </w:r>
      <w:r w:rsidRPr="005B151B">
        <w:rPr>
          <w:rFonts w:ascii="Maiandra GD" w:hAnsi="Maiandra GD"/>
          <w:b/>
          <w:bCs/>
          <w:sz w:val="22"/>
          <w:szCs w:val="22"/>
        </w:rPr>
        <w:t xml:space="preserve"> Objective</w:t>
      </w:r>
    </w:p>
    <w:p w14:paraId="2B9BEA58" w14:textId="77777777" w:rsidR="00DC4679" w:rsidRPr="00C35158" w:rsidRDefault="00DC4679" w:rsidP="00DC4679">
      <w:pPr>
        <w:pStyle w:val="Heading1"/>
        <w:spacing w:line="360" w:lineRule="auto"/>
        <w:jc w:val="both"/>
        <w:rPr>
          <w:rFonts w:ascii="Maiandra GD" w:eastAsia="Times New Roman" w:hAnsi="Maiandra GD" w:cs="Times New Roman"/>
          <w:b/>
          <w:bCs/>
          <w:color w:val="auto"/>
          <w:sz w:val="22"/>
          <w:szCs w:val="22"/>
          <w:lang w:val="en-GB" w:eastAsia="en-GB"/>
        </w:rPr>
      </w:pPr>
      <w:r w:rsidRPr="00C35158">
        <w:rPr>
          <w:rFonts w:ascii="Maiandra GD" w:eastAsia="Times New Roman" w:hAnsi="Maiandra GD" w:cs="Times New Roman"/>
          <w:color w:val="auto"/>
          <w:sz w:val="22"/>
          <w:szCs w:val="22"/>
          <w:lang w:val="en-GB" w:eastAsia="en-GB"/>
        </w:rPr>
        <w:t>To examine how qualifications systems can be strengthened to effectively connect skills development to employment outcomes by enhancing employability, supporting labour mobility, and enabling flexible and lifelong learning.</w:t>
      </w:r>
    </w:p>
    <w:p w14:paraId="1779F209" w14:textId="77777777" w:rsidR="00DC4679" w:rsidRPr="005B151B" w:rsidRDefault="00DC4679" w:rsidP="00DC4679">
      <w:pPr>
        <w:pStyle w:val="Heading1"/>
        <w:numPr>
          <w:ilvl w:val="0"/>
          <w:numId w:val="11"/>
        </w:numPr>
        <w:tabs>
          <w:tab w:val="num" w:pos="360"/>
        </w:tabs>
        <w:ind w:left="360" w:firstLine="0"/>
        <w:jc w:val="both"/>
        <w:rPr>
          <w:rFonts w:ascii="Maiandra GD" w:hAnsi="Maiandra GD"/>
          <w:b/>
          <w:bCs/>
          <w:sz w:val="22"/>
          <w:szCs w:val="22"/>
        </w:rPr>
      </w:pPr>
      <w:r w:rsidRPr="005B151B">
        <w:rPr>
          <w:rFonts w:ascii="Maiandra GD" w:hAnsi="Maiandra GD"/>
          <w:b/>
          <w:bCs/>
          <w:sz w:val="22"/>
          <w:szCs w:val="22"/>
        </w:rPr>
        <w:t xml:space="preserve">Session </w:t>
      </w:r>
      <w:r w:rsidRPr="005B151B">
        <w:rPr>
          <w:rFonts w:ascii="Maiandra GD" w:hAnsi="Maiandra GD" w:cs="Times New Roman"/>
          <w:b/>
          <w:bCs/>
          <w:sz w:val="22"/>
          <w:szCs w:val="22"/>
        </w:rPr>
        <w:t>Description</w:t>
      </w:r>
    </w:p>
    <w:p w14:paraId="3C47025C" w14:textId="77777777" w:rsidR="00DC4679" w:rsidRPr="00C35158" w:rsidRDefault="00DC4679" w:rsidP="00DC4679">
      <w:pPr>
        <w:pStyle w:val="NormalWeb"/>
        <w:spacing w:line="360" w:lineRule="auto"/>
        <w:jc w:val="both"/>
        <w:rPr>
          <w:rFonts w:ascii="Maiandra GD" w:hAnsi="Maiandra GD"/>
          <w:sz w:val="22"/>
          <w:szCs w:val="22"/>
        </w:rPr>
      </w:pPr>
      <w:r w:rsidRPr="00C35158">
        <w:rPr>
          <w:rFonts w:ascii="Maiandra GD" w:hAnsi="Maiandra GD"/>
          <w:sz w:val="22"/>
          <w:szCs w:val="22"/>
        </w:rPr>
        <w:t>This panel will position qualifications systems as central mechanisms for linking education and training to labour market demand, ensuring that skills acquired through different pathways lead to meaningful employment and productivity outcomes.</w:t>
      </w:r>
    </w:p>
    <w:p w14:paraId="0B325B04" w14:textId="77777777" w:rsidR="00DC4679" w:rsidRPr="00C35158" w:rsidRDefault="00DC4679" w:rsidP="00DC4679">
      <w:pPr>
        <w:pStyle w:val="NormalWeb"/>
        <w:spacing w:line="360" w:lineRule="auto"/>
        <w:jc w:val="both"/>
        <w:rPr>
          <w:rFonts w:ascii="Maiandra GD" w:hAnsi="Maiandra GD"/>
          <w:sz w:val="22"/>
          <w:szCs w:val="22"/>
        </w:rPr>
      </w:pPr>
      <w:r w:rsidRPr="00C35158">
        <w:rPr>
          <w:rFonts w:ascii="Maiandra GD" w:hAnsi="Maiandra GD"/>
          <w:sz w:val="22"/>
          <w:szCs w:val="22"/>
        </w:rPr>
        <w:t>The discussion will explore how qualifications can be designed and implemented to reflect real workplace competencies, including the role of Competency-Based Education and Training (CBET), apprenticeships, internships, and work-based learning models. It will also examine how stronger use of labour market intelligence (LMI) can inform qualifications design, review, and relevance.</w:t>
      </w:r>
    </w:p>
    <w:p w14:paraId="25DA68E5" w14:textId="77777777" w:rsidR="00DC4679" w:rsidRPr="00C35158" w:rsidRDefault="00DC4679" w:rsidP="00DC4679">
      <w:pPr>
        <w:pStyle w:val="NormalWeb"/>
        <w:spacing w:line="360" w:lineRule="auto"/>
        <w:jc w:val="both"/>
        <w:rPr>
          <w:rFonts w:ascii="Maiandra GD" w:hAnsi="Maiandra GD"/>
          <w:sz w:val="22"/>
          <w:szCs w:val="22"/>
        </w:rPr>
      </w:pPr>
      <w:r w:rsidRPr="00C35158">
        <w:rPr>
          <w:rFonts w:ascii="Maiandra GD" w:hAnsi="Maiandra GD"/>
          <w:sz w:val="22"/>
          <w:szCs w:val="22"/>
        </w:rPr>
        <w:t>A key focus will be on recognition and inclusion, particularly how systems can better integrate skills acquired in the informal economy, through mechanisms such as Recognition of Prior Learning (RPL), micro-credentials, and modular learning pathways. These approaches are essential for supporting career progression, reskilling, and upskilling in rapidly changing labour markets.</w:t>
      </w:r>
    </w:p>
    <w:p w14:paraId="46F6D4C2" w14:textId="77777777" w:rsidR="00DC4679" w:rsidRPr="00C35158" w:rsidRDefault="00DC4679" w:rsidP="00DC4679">
      <w:pPr>
        <w:pStyle w:val="NormalWeb"/>
        <w:spacing w:line="360" w:lineRule="auto"/>
        <w:jc w:val="both"/>
        <w:rPr>
          <w:rFonts w:ascii="Maiandra GD" w:hAnsi="Maiandra GD"/>
          <w:sz w:val="22"/>
          <w:szCs w:val="22"/>
        </w:rPr>
      </w:pPr>
      <w:r w:rsidRPr="00C35158">
        <w:rPr>
          <w:rFonts w:ascii="Maiandra GD" w:hAnsi="Maiandra GD"/>
          <w:sz w:val="22"/>
          <w:szCs w:val="22"/>
        </w:rPr>
        <w:t>The panel will also address the importance of employer engagement, exploring how industry can play a more active role in shaping qualifications, validating competencies, and supporting transitions into work. In addition, it will reflect on how qualifications frameworks can support labour mobility across sectors and borders, including alignment with regional and continental frameworks.</w:t>
      </w:r>
    </w:p>
    <w:p w14:paraId="064CFFD4" w14:textId="77777777" w:rsidR="00DC4679" w:rsidRPr="00C35158" w:rsidRDefault="00DC4679" w:rsidP="00DC4679">
      <w:pPr>
        <w:pStyle w:val="NormalWeb"/>
        <w:spacing w:line="360" w:lineRule="auto"/>
        <w:jc w:val="both"/>
        <w:rPr>
          <w:rFonts w:ascii="Maiandra GD" w:hAnsi="Maiandra GD"/>
          <w:sz w:val="22"/>
          <w:szCs w:val="22"/>
        </w:rPr>
      </w:pPr>
      <w:r w:rsidRPr="00C35158">
        <w:rPr>
          <w:rFonts w:ascii="Maiandra GD" w:hAnsi="Maiandra GD"/>
          <w:sz w:val="22"/>
          <w:szCs w:val="22"/>
        </w:rPr>
        <w:t>Drawing from perspectives across government, industry, regional bodies, and international organisations, the session will provide practical insights into how qualifications systems can be made more responsive, inclusive, and outcome-oriented, ensuring that they contribute directly to employment, productivity, and inclusive economic growth.</w:t>
      </w:r>
    </w:p>
    <w:p w14:paraId="52FF2A54" w14:textId="77777777" w:rsidR="00DC4679" w:rsidRDefault="00DC4679" w:rsidP="00DC4679">
      <w:pPr>
        <w:spacing w:after="200"/>
        <w:rPr>
          <w:rFonts w:ascii="Maiandra GD" w:eastAsiaTheme="majorEastAsia" w:hAnsi="Maiandra GD" w:cstheme="majorBidi"/>
          <w:b/>
          <w:bCs/>
          <w:color w:val="1E4A79"/>
          <w:sz w:val="22"/>
        </w:rPr>
      </w:pPr>
      <w:r>
        <w:rPr>
          <w:rFonts w:ascii="Maiandra GD" w:hAnsi="Maiandra GD"/>
          <w:sz w:val="22"/>
        </w:rPr>
        <w:br w:type="page"/>
      </w:r>
    </w:p>
    <w:p w14:paraId="2207A8D7" w14:textId="77777777" w:rsidR="00DC4679" w:rsidRPr="005B151B" w:rsidRDefault="00DC4679" w:rsidP="00DC4679">
      <w:pPr>
        <w:pStyle w:val="Heading1"/>
        <w:numPr>
          <w:ilvl w:val="0"/>
          <w:numId w:val="11"/>
        </w:numPr>
        <w:tabs>
          <w:tab w:val="num" w:pos="360"/>
        </w:tabs>
        <w:ind w:left="360" w:firstLine="0"/>
        <w:jc w:val="both"/>
        <w:rPr>
          <w:rFonts w:ascii="Maiandra GD" w:hAnsi="Maiandra GD"/>
          <w:b/>
          <w:bCs/>
          <w:sz w:val="22"/>
          <w:szCs w:val="22"/>
        </w:rPr>
      </w:pPr>
      <w:r w:rsidRPr="005B151B">
        <w:rPr>
          <w:rFonts w:ascii="Maiandra GD" w:hAnsi="Maiandra GD" w:cs="Times New Roman"/>
          <w:b/>
          <w:bCs/>
          <w:sz w:val="22"/>
          <w:szCs w:val="22"/>
        </w:rPr>
        <w:lastRenderedPageBreak/>
        <w:t>Expected</w:t>
      </w:r>
      <w:r w:rsidRPr="005B151B">
        <w:rPr>
          <w:rFonts w:ascii="Maiandra GD" w:hAnsi="Maiandra GD"/>
          <w:b/>
          <w:bCs/>
          <w:sz w:val="22"/>
          <w:szCs w:val="22"/>
        </w:rPr>
        <w:t xml:space="preserve"> Session Outcomes</w:t>
      </w:r>
    </w:p>
    <w:p w14:paraId="1AE50F28" w14:textId="77777777" w:rsidR="00DC4679" w:rsidRPr="00C35158" w:rsidRDefault="00DC4679" w:rsidP="00DC4679">
      <w:pPr>
        <w:spacing w:before="100" w:beforeAutospacing="1" w:after="100" w:afterAutospacing="1" w:line="360" w:lineRule="auto"/>
        <w:jc w:val="both"/>
        <w:rPr>
          <w:rFonts w:ascii="Maiandra GD" w:eastAsia="Times New Roman" w:hAnsi="Maiandra GD" w:cs="Times New Roman"/>
          <w:sz w:val="22"/>
        </w:rPr>
      </w:pPr>
      <w:r w:rsidRPr="00C35158">
        <w:rPr>
          <w:rFonts w:ascii="Maiandra GD" w:eastAsia="Times New Roman" w:hAnsi="Maiandra GD" w:cs="Times New Roman"/>
          <w:sz w:val="22"/>
        </w:rPr>
        <w:t xml:space="preserve">The session will strengthen the positioning of qualifications systems as </w:t>
      </w:r>
      <w:r w:rsidRPr="00C35158">
        <w:rPr>
          <w:rFonts w:ascii="Maiandra GD" w:eastAsia="Times New Roman" w:hAnsi="Maiandra GD" w:cs="Times New Roman"/>
          <w:bCs/>
          <w:sz w:val="22"/>
        </w:rPr>
        <w:t>drivers of employability and economic opportunity</w:t>
      </w:r>
      <w:r w:rsidRPr="00C35158">
        <w:rPr>
          <w:rFonts w:ascii="Maiandra GD" w:eastAsia="Times New Roman" w:hAnsi="Maiandra GD" w:cs="Times New Roman"/>
          <w:sz w:val="22"/>
        </w:rPr>
        <w:t>, and is expected to generate:</w:t>
      </w:r>
    </w:p>
    <w:p w14:paraId="60833D35" w14:textId="77777777" w:rsidR="00DC4679" w:rsidRPr="00C35158" w:rsidRDefault="00DC4679" w:rsidP="00DC4679">
      <w:pPr>
        <w:numPr>
          <w:ilvl w:val="0"/>
          <w:numId w:val="10"/>
        </w:numPr>
        <w:spacing w:before="100" w:beforeAutospacing="1" w:after="100" w:afterAutospacing="1" w:line="360" w:lineRule="auto"/>
        <w:jc w:val="both"/>
        <w:rPr>
          <w:rFonts w:ascii="Maiandra GD" w:eastAsia="Times New Roman" w:hAnsi="Maiandra GD" w:cs="Times New Roman"/>
          <w:sz w:val="22"/>
        </w:rPr>
      </w:pPr>
      <w:r w:rsidRPr="00C35158">
        <w:rPr>
          <w:rFonts w:ascii="Maiandra GD" w:eastAsia="Times New Roman" w:hAnsi="Maiandra GD" w:cs="Times New Roman"/>
          <w:bCs/>
          <w:sz w:val="22"/>
        </w:rPr>
        <w:t>Greater clarity on how qualifications systems can be aligned with labour market demand</w:t>
      </w:r>
      <w:r w:rsidRPr="00C35158">
        <w:rPr>
          <w:rFonts w:ascii="Maiandra GD" w:eastAsia="Times New Roman" w:hAnsi="Maiandra GD" w:cs="Times New Roman"/>
          <w:sz w:val="22"/>
        </w:rPr>
        <w:t xml:space="preserve">, including the role of CBET, LMI, and employer engagement. </w:t>
      </w:r>
    </w:p>
    <w:p w14:paraId="25D005A1" w14:textId="77777777" w:rsidR="00DC4679" w:rsidRPr="00C35158" w:rsidRDefault="00DC4679" w:rsidP="00DC4679">
      <w:pPr>
        <w:numPr>
          <w:ilvl w:val="0"/>
          <w:numId w:val="10"/>
        </w:numPr>
        <w:spacing w:before="100" w:beforeAutospacing="1" w:after="100" w:afterAutospacing="1" w:line="360" w:lineRule="auto"/>
        <w:jc w:val="both"/>
        <w:rPr>
          <w:rFonts w:ascii="Maiandra GD" w:eastAsia="Times New Roman" w:hAnsi="Maiandra GD" w:cs="Times New Roman"/>
          <w:sz w:val="22"/>
        </w:rPr>
      </w:pPr>
      <w:r w:rsidRPr="00C35158">
        <w:rPr>
          <w:rFonts w:ascii="Maiandra GD" w:eastAsia="Times New Roman" w:hAnsi="Maiandra GD" w:cs="Times New Roman"/>
          <w:bCs/>
          <w:sz w:val="22"/>
        </w:rPr>
        <w:t>Improved understanding of how to strengthen the transition from learning to employment</w:t>
      </w:r>
      <w:r w:rsidRPr="00C35158">
        <w:rPr>
          <w:rFonts w:ascii="Maiandra GD" w:eastAsia="Times New Roman" w:hAnsi="Maiandra GD" w:cs="Times New Roman"/>
          <w:sz w:val="22"/>
        </w:rPr>
        <w:t xml:space="preserve">, including work-based learning and apprenticeship models. </w:t>
      </w:r>
    </w:p>
    <w:p w14:paraId="3874B021" w14:textId="77777777" w:rsidR="00DC4679" w:rsidRPr="00C35158" w:rsidRDefault="00DC4679" w:rsidP="00DC4679">
      <w:pPr>
        <w:numPr>
          <w:ilvl w:val="0"/>
          <w:numId w:val="10"/>
        </w:numPr>
        <w:spacing w:before="100" w:beforeAutospacing="1" w:after="100" w:afterAutospacing="1" w:line="360" w:lineRule="auto"/>
        <w:jc w:val="both"/>
        <w:rPr>
          <w:rFonts w:ascii="Maiandra GD" w:eastAsia="Times New Roman" w:hAnsi="Maiandra GD" w:cs="Times New Roman"/>
          <w:sz w:val="22"/>
        </w:rPr>
      </w:pPr>
      <w:r w:rsidRPr="00C35158">
        <w:rPr>
          <w:rFonts w:ascii="Maiandra GD" w:eastAsia="Times New Roman" w:hAnsi="Maiandra GD" w:cs="Times New Roman"/>
          <w:bCs/>
          <w:sz w:val="22"/>
        </w:rPr>
        <w:t>Practical insights on integrating informal sector skills into formal qualifications systems</w:t>
      </w:r>
      <w:r w:rsidRPr="00C35158">
        <w:rPr>
          <w:rFonts w:ascii="Maiandra GD" w:eastAsia="Times New Roman" w:hAnsi="Maiandra GD" w:cs="Times New Roman"/>
          <w:sz w:val="22"/>
        </w:rPr>
        <w:t xml:space="preserve">, particularly through RPL and flexible pathways. </w:t>
      </w:r>
    </w:p>
    <w:p w14:paraId="6F95B621" w14:textId="77777777" w:rsidR="00DC4679" w:rsidRPr="00C35158" w:rsidRDefault="00DC4679" w:rsidP="00DC4679">
      <w:pPr>
        <w:numPr>
          <w:ilvl w:val="0"/>
          <w:numId w:val="10"/>
        </w:numPr>
        <w:spacing w:before="100" w:beforeAutospacing="1" w:after="100" w:afterAutospacing="1" w:line="360" w:lineRule="auto"/>
        <w:jc w:val="both"/>
        <w:rPr>
          <w:rFonts w:ascii="Maiandra GD" w:eastAsia="Times New Roman" w:hAnsi="Maiandra GD" w:cs="Times New Roman"/>
          <w:sz w:val="22"/>
        </w:rPr>
      </w:pPr>
      <w:r w:rsidRPr="00C35158">
        <w:rPr>
          <w:rFonts w:ascii="Maiandra GD" w:eastAsia="Times New Roman" w:hAnsi="Maiandra GD" w:cs="Times New Roman"/>
          <w:bCs/>
          <w:sz w:val="22"/>
        </w:rPr>
        <w:t>Identification of key barriers preventing qualifications from translating into jobs</w:t>
      </w:r>
      <w:r w:rsidRPr="00C35158">
        <w:rPr>
          <w:rFonts w:ascii="Maiandra GD" w:eastAsia="Times New Roman" w:hAnsi="Maiandra GD" w:cs="Times New Roman"/>
          <w:sz w:val="22"/>
        </w:rPr>
        <w:t xml:space="preserve">, and strategies to address them. </w:t>
      </w:r>
    </w:p>
    <w:p w14:paraId="5D790F84" w14:textId="77777777" w:rsidR="00DC4679" w:rsidRPr="00C35158" w:rsidRDefault="00DC4679" w:rsidP="00DC4679">
      <w:pPr>
        <w:numPr>
          <w:ilvl w:val="0"/>
          <w:numId w:val="10"/>
        </w:numPr>
        <w:spacing w:before="100" w:beforeAutospacing="1" w:after="100" w:afterAutospacing="1" w:line="360" w:lineRule="auto"/>
        <w:jc w:val="both"/>
        <w:rPr>
          <w:rFonts w:ascii="Maiandra GD" w:eastAsia="Times New Roman" w:hAnsi="Maiandra GD" w:cs="Times New Roman"/>
          <w:sz w:val="22"/>
        </w:rPr>
      </w:pPr>
      <w:r w:rsidRPr="00C35158">
        <w:rPr>
          <w:rFonts w:ascii="Maiandra GD" w:eastAsia="Times New Roman" w:hAnsi="Maiandra GD" w:cs="Times New Roman"/>
          <w:bCs/>
          <w:sz w:val="22"/>
        </w:rPr>
        <w:t>Actionable recommendations for strengthening labour mobility and lifelong learning pathways</w:t>
      </w:r>
      <w:r w:rsidRPr="00C35158">
        <w:rPr>
          <w:rFonts w:ascii="Maiandra GD" w:eastAsia="Times New Roman" w:hAnsi="Maiandra GD" w:cs="Times New Roman"/>
          <w:sz w:val="22"/>
        </w:rPr>
        <w:t xml:space="preserve"> within Kenya and across Africa.</w:t>
      </w:r>
    </w:p>
    <w:p w14:paraId="08551ACA" w14:textId="77777777" w:rsidR="00DC4679" w:rsidRPr="005B151B" w:rsidRDefault="00DC4679" w:rsidP="00DC4679">
      <w:pPr>
        <w:pStyle w:val="Heading1"/>
        <w:numPr>
          <w:ilvl w:val="0"/>
          <w:numId w:val="11"/>
        </w:numPr>
        <w:tabs>
          <w:tab w:val="num" w:pos="360"/>
        </w:tabs>
        <w:ind w:left="360" w:firstLine="0"/>
        <w:jc w:val="both"/>
        <w:rPr>
          <w:rFonts w:ascii="Maiandra GD" w:hAnsi="Maiandra GD"/>
          <w:b/>
          <w:bCs/>
          <w:sz w:val="22"/>
          <w:szCs w:val="22"/>
        </w:rPr>
      </w:pPr>
      <w:r w:rsidRPr="005B151B">
        <w:rPr>
          <w:rFonts w:ascii="Maiandra GD" w:hAnsi="Maiandra GD"/>
          <w:b/>
          <w:bCs/>
          <w:sz w:val="22"/>
          <w:szCs w:val="22"/>
        </w:rPr>
        <w:t>Proposed Session Structure</w:t>
      </w:r>
    </w:p>
    <w:tbl>
      <w:tblPr>
        <w:tblStyle w:val="TableGrid"/>
        <w:tblW w:w="0" w:type="auto"/>
        <w:jc w:val="center"/>
        <w:tblLook w:val="04A0" w:firstRow="1" w:lastRow="0" w:firstColumn="1" w:lastColumn="0" w:noHBand="0" w:noVBand="1"/>
      </w:tblPr>
      <w:tblGrid>
        <w:gridCol w:w="4943"/>
        <w:gridCol w:w="4940"/>
      </w:tblGrid>
      <w:tr w:rsidR="00DC4679" w:rsidRPr="00C35158" w14:paraId="273F4BCA" w14:textId="77777777" w:rsidTr="000F369C">
        <w:trPr>
          <w:jc w:val="center"/>
        </w:trPr>
        <w:tc>
          <w:tcPr>
            <w:tcW w:w="4943" w:type="dxa"/>
            <w:tcMar>
              <w:top w:w="80" w:type="dxa"/>
              <w:left w:w="120" w:type="dxa"/>
              <w:bottom w:w="80" w:type="dxa"/>
              <w:right w:w="120" w:type="dxa"/>
            </w:tcMar>
            <w:vAlign w:val="center"/>
          </w:tcPr>
          <w:p w14:paraId="43F17712" w14:textId="77777777" w:rsidR="00DC4679" w:rsidRPr="00C35158" w:rsidRDefault="00DC4679" w:rsidP="000F369C">
            <w:pPr>
              <w:spacing w:line="276" w:lineRule="auto"/>
              <w:jc w:val="both"/>
              <w:rPr>
                <w:rFonts w:ascii="Maiandra GD" w:hAnsi="Maiandra GD"/>
              </w:rPr>
            </w:pPr>
            <w:r w:rsidRPr="00C35158">
              <w:rPr>
                <w:rFonts w:ascii="Maiandra GD" w:hAnsi="Maiandra GD"/>
              </w:rPr>
              <w:t>Moderator framing</w:t>
            </w:r>
          </w:p>
        </w:tc>
        <w:tc>
          <w:tcPr>
            <w:tcW w:w="4940" w:type="dxa"/>
            <w:tcMar>
              <w:top w:w="80" w:type="dxa"/>
              <w:left w:w="120" w:type="dxa"/>
              <w:bottom w:w="80" w:type="dxa"/>
              <w:right w:w="120" w:type="dxa"/>
            </w:tcMar>
            <w:vAlign w:val="center"/>
          </w:tcPr>
          <w:p w14:paraId="2171D684" w14:textId="77777777" w:rsidR="00DC4679" w:rsidRPr="00021399" w:rsidRDefault="00DC4679" w:rsidP="000F369C">
            <w:pPr>
              <w:spacing w:line="276" w:lineRule="auto"/>
              <w:jc w:val="both"/>
              <w:rPr>
                <w:rFonts w:ascii="Maiandra GD" w:hAnsi="Maiandra GD"/>
                <w:b/>
                <w:bCs/>
              </w:rPr>
            </w:pPr>
            <w:r w:rsidRPr="00021399">
              <w:rPr>
                <w:rFonts w:ascii="Maiandra GD" w:hAnsi="Maiandra GD"/>
                <w:b/>
                <w:bCs/>
              </w:rPr>
              <w:t>5 minutes</w:t>
            </w:r>
          </w:p>
        </w:tc>
      </w:tr>
      <w:tr w:rsidR="00B717CA" w:rsidRPr="00C35158" w14:paraId="222A126D" w14:textId="77777777" w:rsidTr="000F369C">
        <w:trPr>
          <w:jc w:val="center"/>
        </w:trPr>
        <w:tc>
          <w:tcPr>
            <w:tcW w:w="4943" w:type="dxa"/>
            <w:tcMar>
              <w:top w:w="80" w:type="dxa"/>
              <w:left w:w="120" w:type="dxa"/>
              <w:bottom w:w="80" w:type="dxa"/>
              <w:right w:w="120" w:type="dxa"/>
            </w:tcMar>
            <w:vAlign w:val="center"/>
          </w:tcPr>
          <w:p w14:paraId="77EBC1B5" w14:textId="620F4335" w:rsidR="00B717CA" w:rsidRPr="00C35158" w:rsidRDefault="00B717CA" w:rsidP="000F369C">
            <w:pPr>
              <w:spacing w:line="276" w:lineRule="auto"/>
              <w:jc w:val="both"/>
              <w:rPr>
                <w:rFonts w:ascii="Maiandra GD" w:hAnsi="Maiandra GD"/>
              </w:rPr>
            </w:pPr>
            <w:r>
              <w:rPr>
                <w:rFonts w:ascii="Maiandra GD" w:hAnsi="Maiandra GD"/>
              </w:rPr>
              <w:t>Keynote Presentation</w:t>
            </w:r>
          </w:p>
        </w:tc>
        <w:tc>
          <w:tcPr>
            <w:tcW w:w="4940" w:type="dxa"/>
            <w:tcMar>
              <w:top w:w="80" w:type="dxa"/>
              <w:left w:w="120" w:type="dxa"/>
              <w:bottom w:w="80" w:type="dxa"/>
              <w:right w:w="120" w:type="dxa"/>
            </w:tcMar>
            <w:vAlign w:val="center"/>
          </w:tcPr>
          <w:p w14:paraId="2A733E4E" w14:textId="377EAC78" w:rsidR="00B717CA" w:rsidRPr="00021399" w:rsidRDefault="00B717CA" w:rsidP="000F369C">
            <w:pPr>
              <w:spacing w:line="276" w:lineRule="auto"/>
              <w:jc w:val="both"/>
              <w:rPr>
                <w:rFonts w:ascii="Maiandra GD" w:hAnsi="Maiandra GD"/>
                <w:b/>
                <w:bCs/>
              </w:rPr>
            </w:pPr>
            <w:r>
              <w:rPr>
                <w:rFonts w:ascii="Maiandra GD" w:hAnsi="Maiandra GD"/>
                <w:b/>
                <w:bCs/>
              </w:rPr>
              <w:t>10 Minutes</w:t>
            </w:r>
          </w:p>
        </w:tc>
      </w:tr>
      <w:tr w:rsidR="00DC4679" w:rsidRPr="00C35158" w14:paraId="24FA0C6E" w14:textId="77777777" w:rsidTr="000F369C">
        <w:trPr>
          <w:jc w:val="center"/>
        </w:trPr>
        <w:tc>
          <w:tcPr>
            <w:tcW w:w="4943" w:type="dxa"/>
            <w:tcMar>
              <w:top w:w="80" w:type="dxa"/>
              <w:left w:w="120" w:type="dxa"/>
              <w:bottom w:w="80" w:type="dxa"/>
              <w:right w:w="120" w:type="dxa"/>
            </w:tcMar>
            <w:vAlign w:val="center"/>
          </w:tcPr>
          <w:p w14:paraId="424B42F3" w14:textId="77777777" w:rsidR="00DC4679" w:rsidRPr="00C35158" w:rsidRDefault="00DC4679" w:rsidP="000F369C">
            <w:pPr>
              <w:spacing w:line="276" w:lineRule="auto"/>
              <w:jc w:val="both"/>
              <w:rPr>
                <w:rFonts w:ascii="Maiandra GD" w:hAnsi="Maiandra GD"/>
              </w:rPr>
            </w:pPr>
            <w:r w:rsidRPr="00C35158">
              <w:rPr>
                <w:rFonts w:ascii="Maiandra GD" w:hAnsi="Maiandra GD"/>
              </w:rPr>
              <w:t>Panelist interventions (4 speakers)</w:t>
            </w:r>
          </w:p>
        </w:tc>
        <w:tc>
          <w:tcPr>
            <w:tcW w:w="4940" w:type="dxa"/>
            <w:tcMar>
              <w:top w:w="80" w:type="dxa"/>
              <w:left w:w="120" w:type="dxa"/>
              <w:bottom w:w="80" w:type="dxa"/>
              <w:right w:w="120" w:type="dxa"/>
            </w:tcMar>
            <w:vAlign w:val="center"/>
          </w:tcPr>
          <w:p w14:paraId="5C543174" w14:textId="33134EB1" w:rsidR="00DC4679" w:rsidRPr="00021399" w:rsidRDefault="00AC55F5" w:rsidP="000F369C">
            <w:pPr>
              <w:spacing w:line="276" w:lineRule="auto"/>
              <w:jc w:val="both"/>
              <w:rPr>
                <w:rFonts w:ascii="Maiandra GD" w:hAnsi="Maiandra GD"/>
                <w:b/>
                <w:bCs/>
              </w:rPr>
            </w:pPr>
            <w:r>
              <w:rPr>
                <w:rFonts w:ascii="Maiandra GD" w:hAnsi="Maiandra GD"/>
                <w:b/>
                <w:bCs/>
              </w:rPr>
              <w:t>28</w:t>
            </w:r>
            <w:r w:rsidR="00DC4679" w:rsidRPr="00021399">
              <w:rPr>
                <w:rFonts w:ascii="Maiandra GD" w:hAnsi="Maiandra GD"/>
                <w:b/>
                <w:bCs/>
              </w:rPr>
              <w:t xml:space="preserve"> minutes</w:t>
            </w:r>
            <w:r w:rsidR="00014C3E">
              <w:rPr>
                <w:rFonts w:ascii="Maiandra GD" w:hAnsi="Maiandra GD"/>
                <w:b/>
                <w:bCs/>
              </w:rPr>
              <w:t xml:space="preserve"> [</w:t>
            </w:r>
            <w:r>
              <w:rPr>
                <w:rFonts w:ascii="Maiandra GD" w:hAnsi="Maiandra GD"/>
                <w:b/>
                <w:bCs/>
              </w:rPr>
              <w:t>7</w:t>
            </w:r>
            <w:r w:rsidR="00014C3E">
              <w:rPr>
                <w:rFonts w:ascii="Maiandra GD" w:hAnsi="Maiandra GD"/>
                <w:b/>
                <w:bCs/>
              </w:rPr>
              <w:t xml:space="preserve"> Minutes each]</w:t>
            </w:r>
          </w:p>
        </w:tc>
      </w:tr>
      <w:tr w:rsidR="00DC4679" w:rsidRPr="00C35158" w14:paraId="28AAE9D5" w14:textId="77777777" w:rsidTr="000F369C">
        <w:trPr>
          <w:jc w:val="center"/>
        </w:trPr>
        <w:tc>
          <w:tcPr>
            <w:tcW w:w="4943" w:type="dxa"/>
            <w:tcMar>
              <w:top w:w="80" w:type="dxa"/>
              <w:left w:w="120" w:type="dxa"/>
              <w:bottom w:w="80" w:type="dxa"/>
              <w:right w:w="120" w:type="dxa"/>
            </w:tcMar>
            <w:vAlign w:val="center"/>
          </w:tcPr>
          <w:p w14:paraId="27BB90E9" w14:textId="77777777" w:rsidR="00DC4679" w:rsidRPr="00C35158" w:rsidRDefault="00DC4679" w:rsidP="000F369C">
            <w:pPr>
              <w:spacing w:line="276" w:lineRule="auto"/>
              <w:jc w:val="both"/>
              <w:rPr>
                <w:rFonts w:ascii="Maiandra GD" w:hAnsi="Maiandra GD"/>
              </w:rPr>
            </w:pPr>
            <w:r w:rsidRPr="00C35158">
              <w:rPr>
                <w:rFonts w:ascii="Maiandra GD" w:hAnsi="Maiandra GD"/>
              </w:rPr>
              <w:t>Moderated discussion &amp; Audience Q &amp;A</w:t>
            </w:r>
          </w:p>
        </w:tc>
        <w:tc>
          <w:tcPr>
            <w:tcW w:w="4940" w:type="dxa"/>
            <w:tcMar>
              <w:top w:w="80" w:type="dxa"/>
              <w:left w:w="120" w:type="dxa"/>
              <w:bottom w:w="80" w:type="dxa"/>
              <w:right w:w="120" w:type="dxa"/>
            </w:tcMar>
            <w:vAlign w:val="center"/>
          </w:tcPr>
          <w:p w14:paraId="61B2EFEB" w14:textId="5DCC02DD" w:rsidR="00DC4679" w:rsidRPr="00021399" w:rsidRDefault="00AC55F5" w:rsidP="000F369C">
            <w:pPr>
              <w:spacing w:line="276" w:lineRule="auto"/>
              <w:jc w:val="both"/>
              <w:rPr>
                <w:rFonts w:ascii="Maiandra GD" w:hAnsi="Maiandra GD"/>
                <w:b/>
                <w:bCs/>
              </w:rPr>
            </w:pPr>
            <w:r>
              <w:rPr>
                <w:rFonts w:ascii="Maiandra GD" w:hAnsi="Maiandra GD"/>
                <w:b/>
                <w:bCs/>
              </w:rPr>
              <w:t>42</w:t>
            </w:r>
            <w:r w:rsidR="00DC4679" w:rsidRPr="00021399">
              <w:rPr>
                <w:rFonts w:ascii="Maiandra GD" w:hAnsi="Maiandra GD"/>
                <w:b/>
                <w:bCs/>
              </w:rPr>
              <w:t xml:space="preserve"> minutes</w:t>
            </w:r>
          </w:p>
        </w:tc>
      </w:tr>
      <w:tr w:rsidR="00DC4679" w:rsidRPr="00C35158" w14:paraId="3BAB5FDD" w14:textId="77777777" w:rsidTr="000F369C">
        <w:trPr>
          <w:jc w:val="center"/>
        </w:trPr>
        <w:tc>
          <w:tcPr>
            <w:tcW w:w="4943" w:type="dxa"/>
            <w:tcMar>
              <w:top w:w="80" w:type="dxa"/>
              <w:left w:w="120" w:type="dxa"/>
              <w:bottom w:w="80" w:type="dxa"/>
              <w:right w:w="120" w:type="dxa"/>
            </w:tcMar>
            <w:vAlign w:val="center"/>
          </w:tcPr>
          <w:p w14:paraId="3FD95397" w14:textId="77777777" w:rsidR="00DC4679" w:rsidRPr="00C35158" w:rsidRDefault="00DC4679" w:rsidP="000F369C">
            <w:pPr>
              <w:spacing w:line="276" w:lineRule="auto"/>
              <w:jc w:val="both"/>
              <w:rPr>
                <w:rFonts w:ascii="Maiandra GD" w:hAnsi="Maiandra GD"/>
              </w:rPr>
            </w:pPr>
            <w:r w:rsidRPr="00C35158">
              <w:rPr>
                <w:rFonts w:ascii="Maiandra GD" w:hAnsi="Maiandra GD"/>
              </w:rPr>
              <w:t>Closing reflections</w:t>
            </w:r>
          </w:p>
        </w:tc>
        <w:tc>
          <w:tcPr>
            <w:tcW w:w="4940" w:type="dxa"/>
            <w:tcMar>
              <w:top w:w="80" w:type="dxa"/>
              <w:left w:w="120" w:type="dxa"/>
              <w:bottom w:w="80" w:type="dxa"/>
              <w:right w:w="120" w:type="dxa"/>
            </w:tcMar>
            <w:vAlign w:val="center"/>
          </w:tcPr>
          <w:p w14:paraId="0F689F13" w14:textId="77777777" w:rsidR="00DC4679" w:rsidRPr="00021399" w:rsidRDefault="00DC4679" w:rsidP="000F369C">
            <w:pPr>
              <w:spacing w:line="276" w:lineRule="auto"/>
              <w:jc w:val="both"/>
              <w:rPr>
                <w:rFonts w:ascii="Maiandra GD" w:hAnsi="Maiandra GD"/>
                <w:b/>
                <w:bCs/>
              </w:rPr>
            </w:pPr>
            <w:r w:rsidRPr="00021399">
              <w:rPr>
                <w:rFonts w:ascii="Maiandra GD" w:hAnsi="Maiandra GD"/>
                <w:b/>
                <w:bCs/>
              </w:rPr>
              <w:t>5 minutes</w:t>
            </w:r>
          </w:p>
        </w:tc>
      </w:tr>
      <w:tr w:rsidR="00DC4679" w:rsidRPr="00C35158" w14:paraId="25117D1B" w14:textId="77777777" w:rsidTr="000F369C">
        <w:trPr>
          <w:jc w:val="center"/>
        </w:trPr>
        <w:tc>
          <w:tcPr>
            <w:tcW w:w="4943" w:type="dxa"/>
            <w:shd w:val="clear" w:color="auto" w:fill="EAF2F8"/>
            <w:tcMar>
              <w:top w:w="80" w:type="dxa"/>
              <w:left w:w="120" w:type="dxa"/>
              <w:bottom w:w="80" w:type="dxa"/>
              <w:right w:w="120" w:type="dxa"/>
            </w:tcMar>
            <w:vAlign w:val="center"/>
          </w:tcPr>
          <w:p w14:paraId="38897176" w14:textId="77777777" w:rsidR="00DC4679" w:rsidRPr="00C35158" w:rsidRDefault="00DC4679" w:rsidP="000F369C">
            <w:pPr>
              <w:spacing w:line="276" w:lineRule="auto"/>
              <w:jc w:val="both"/>
              <w:rPr>
                <w:rFonts w:ascii="Maiandra GD" w:hAnsi="Maiandra GD"/>
              </w:rPr>
            </w:pPr>
            <w:r w:rsidRPr="00C35158">
              <w:rPr>
                <w:rFonts w:ascii="Maiandra GD" w:hAnsi="Maiandra GD"/>
                <w:b/>
              </w:rPr>
              <w:t>Total</w:t>
            </w:r>
          </w:p>
        </w:tc>
        <w:tc>
          <w:tcPr>
            <w:tcW w:w="4940" w:type="dxa"/>
            <w:shd w:val="clear" w:color="auto" w:fill="EAF2F8"/>
            <w:tcMar>
              <w:top w:w="80" w:type="dxa"/>
              <w:left w:w="120" w:type="dxa"/>
              <w:bottom w:w="80" w:type="dxa"/>
              <w:right w:w="120" w:type="dxa"/>
            </w:tcMar>
            <w:vAlign w:val="center"/>
          </w:tcPr>
          <w:p w14:paraId="0BD27CFC" w14:textId="32ABC881" w:rsidR="00DC4679" w:rsidRPr="00C35158" w:rsidRDefault="00DC7F53" w:rsidP="000F369C">
            <w:pPr>
              <w:spacing w:line="276" w:lineRule="auto"/>
              <w:jc w:val="both"/>
              <w:rPr>
                <w:rFonts w:ascii="Maiandra GD" w:hAnsi="Maiandra GD"/>
              </w:rPr>
            </w:pPr>
            <w:r>
              <w:rPr>
                <w:rFonts w:ascii="Maiandra GD" w:hAnsi="Maiandra GD"/>
                <w:b/>
              </w:rPr>
              <w:t>9</w:t>
            </w:r>
            <w:r w:rsidR="00DC4679" w:rsidRPr="00C35158">
              <w:rPr>
                <w:rFonts w:ascii="Maiandra GD" w:hAnsi="Maiandra GD"/>
                <w:b/>
              </w:rPr>
              <w:t>0 minutes</w:t>
            </w:r>
          </w:p>
        </w:tc>
      </w:tr>
    </w:tbl>
    <w:p w14:paraId="2AF93912" w14:textId="77777777" w:rsidR="00DC4679" w:rsidRDefault="00DC4679" w:rsidP="00DC4679">
      <w:pPr>
        <w:pStyle w:val="Heading1"/>
        <w:spacing w:before="0" w:line="240" w:lineRule="auto"/>
        <w:jc w:val="both"/>
        <w:rPr>
          <w:rFonts w:ascii="Maiandra GD" w:hAnsi="Maiandra GD"/>
          <w:sz w:val="22"/>
          <w:szCs w:val="22"/>
        </w:rPr>
      </w:pPr>
    </w:p>
    <w:p w14:paraId="360F2D39" w14:textId="77777777" w:rsidR="00DC4679" w:rsidRPr="005B151B" w:rsidRDefault="00DC4679" w:rsidP="00DC4679">
      <w:pPr>
        <w:pStyle w:val="Heading1"/>
        <w:numPr>
          <w:ilvl w:val="0"/>
          <w:numId w:val="11"/>
        </w:numPr>
        <w:tabs>
          <w:tab w:val="num" w:pos="360"/>
        </w:tabs>
        <w:ind w:left="360" w:firstLine="0"/>
        <w:jc w:val="both"/>
        <w:rPr>
          <w:rFonts w:ascii="Maiandra GD" w:hAnsi="Maiandra GD"/>
          <w:b/>
          <w:bCs/>
          <w:sz w:val="22"/>
          <w:szCs w:val="22"/>
        </w:rPr>
      </w:pPr>
      <w:r w:rsidRPr="005B151B">
        <w:rPr>
          <w:rFonts w:ascii="Maiandra GD" w:hAnsi="Maiandra GD"/>
          <w:b/>
          <w:bCs/>
          <w:sz w:val="22"/>
          <w:szCs w:val="22"/>
        </w:rPr>
        <w:t>Recommended Panel Composition</w:t>
      </w:r>
    </w:p>
    <w:tbl>
      <w:tblPr>
        <w:tblStyle w:val="TableGrid"/>
        <w:tblW w:w="0" w:type="auto"/>
        <w:tblInd w:w="-185" w:type="dxa"/>
        <w:tblLook w:val="04A0" w:firstRow="1" w:lastRow="0" w:firstColumn="1" w:lastColumn="0" w:noHBand="0" w:noVBand="1"/>
      </w:tblPr>
      <w:tblGrid>
        <w:gridCol w:w="2970"/>
        <w:gridCol w:w="7098"/>
      </w:tblGrid>
      <w:tr w:rsidR="00DC4679" w:rsidRPr="00C35158" w14:paraId="475003F3" w14:textId="77777777" w:rsidTr="00A87408">
        <w:trPr>
          <w:tblHeader/>
        </w:trPr>
        <w:tc>
          <w:tcPr>
            <w:tcW w:w="2970" w:type="dxa"/>
          </w:tcPr>
          <w:p w14:paraId="7F46BAB2" w14:textId="77777777" w:rsidR="00DC4679" w:rsidRPr="00C35158" w:rsidRDefault="00DC4679" w:rsidP="000F369C">
            <w:pPr>
              <w:spacing w:line="360" w:lineRule="auto"/>
              <w:jc w:val="both"/>
              <w:rPr>
                <w:rFonts w:ascii="Maiandra GD" w:hAnsi="Maiandra GD"/>
                <w:b/>
              </w:rPr>
            </w:pPr>
            <w:r w:rsidRPr="00C35158">
              <w:rPr>
                <w:rFonts w:ascii="Maiandra GD" w:hAnsi="Maiandra GD"/>
                <w:b/>
              </w:rPr>
              <w:t>Participant</w:t>
            </w:r>
          </w:p>
        </w:tc>
        <w:tc>
          <w:tcPr>
            <w:tcW w:w="7098" w:type="dxa"/>
          </w:tcPr>
          <w:p w14:paraId="57753A72" w14:textId="77777777" w:rsidR="00DC4679" w:rsidRPr="00C35158" w:rsidRDefault="00DC4679" w:rsidP="000F369C">
            <w:pPr>
              <w:spacing w:line="360" w:lineRule="auto"/>
              <w:jc w:val="both"/>
              <w:rPr>
                <w:rFonts w:ascii="Maiandra GD" w:hAnsi="Maiandra GD"/>
                <w:b/>
              </w:rPr>
            </w:pPr>
            <w:r w:rsidRPr="00C35158">
              <w:rPr>
                <w:rFonts w:ascii="Maiandra GD" w:hAnsi="Maiandra GD"/>
                <w:b/>
              </w:rPr>
              <w:t>Area of Discussion</w:t>
            </w:r>
          </w:p>
        </w:tc>
      </w:tr>
      <w:tr w:rsidR="00DC4679" w:rsidRPr="00C35158" w14:paraId="4706512B" w14:textId="77777777" w:rsidTr="00A87408">
        <w:tc>
          <w:tcPr>
            <w:tcW w:w="2970" w:type="dxa"/>
          </w:tcPr>
          <w:p w14:paraId="20541CB5" w14:textId="77777777" w:rsidR="003005FE" w:rsidRPr="003005FE" w:rsidRDefault="00706F0B" w:rsidP="003005FE">
            <w:pPr>
              <w:spacing w:line="360" w:lineRule="auto"/>
              <w:jc w:val="both"/>
              <w:rPr>
                <w:rFonts w:ascii="Maiandra GD" w:hAnsi="Maiandra GD"/>
                <w:b/>
              </w:rPr>
            </w:pPr>
            <w:r>
              <w:rPr>
                <w:rFonts w:ascii="Maiandra GD" w:hAnsi="Maiandra GD"/>
                <w:b/>
              </w:rPr>
              <w:t>Lead</w:t>
            </w:r>
            <w:r w:rsidR="00D438E4">
              <w:rPr>
                <w:rFonts w:ascii="Maiandra GD" w:hAnsi="Maiandra GD"/>
                <w:b/>
              </w:rPr>
              <w:t xml:space="preserve"> </w:t>
            </w:r>
            <w:r w:rsidR="00DC4679" w:rsidRPr="00DF744A">
              <w:rPr>
                <w:rFonts w:ascii="Maiandra GD" w:hAnsi="Maiandra GD"/>
                <w:b/>
              </w:rPr>
              <w:t xml:space="preserve">Presenter: </w:t>
            </w:r>
            <w:r w:rsidR="003005FE" w:rsidRPr="003005FE">
              <w:rPr>
                <w:rFonts w:ascii="Maiandra GD" w:hAnsi="Maiandra GD"/>
                <w:b/>
              </w:rPr>
              <w:t>Ms. Caroline Njuki - Chief Technical</w:t>
            </w:r>
          </w:p>
          <w:p w14:paraId="63B467A1" w14:textId="0B715AE2" w:rsidR="00DC4679" w:rsidRPr="00DF744A" w:rsidRDefault="003005FE" w:rsidP="003005FE">
            <w:pPr>
              <w:spacing w:line="360" w:lineRule="auto"/>
              <w:jc w:val="both"/>
              <w:rPr>
                <w:rFonts w:ascii="Maiandra GD" w:hAnsi="Maiandra GD"/>
                <w:b/>
              </w:rPr>
            </w:pPr>
            <w:r w:rsidRPr="003005FE">
              <w:rPr>
                <w:rFonts w:ascii="Maiandra GD" w:hAnsi="Maiandra GD"/>
                <w:b/>
              </w:rPr>
              <w:t>Advisor, International Labour Organization (ILO)</w:t>
            </w:r>
          </w:p>
        </w:tc>
        <w:tc>
          <w:tcPr>
            <w:tcW w:w="7098" w:type="dxa"/>
          </w:tcPr>
          <w:p w14:paraId="1AF869FA" w14:textId="77777777" w:rsidR="00DC4679" w:rsidRPr="00C35158" w:rsidRDefault="00DC4679" w:rsidP="000F369C">
            <w:pPr>
              <w:spacing w:line="360" w:lineRule="auto"/>
              <w:jc w:val="both"/>
              <w:rPr>
                <w:rFonts w:ascii="Maiandra GD" w:hAnsi="Maiandra GD"/>
                <w:i/>
              </w:rPr>
            </w:pPr>
            <w:r w:rsidRPr="00C35158">
              <w:rPr>
                <w:rFonts w:ascii="Maiandra GD" w:hAnsi="Maiandra GD"/>
                <w:i/>
              </w:rPr>
              <w:t xml:space="preserve">Skills systems, employability, and labour market transitions: </w:t>
            </w:r>
            <w:r w:rsidRPr="00C35158">
              <w:rPr>
                <w:rFonts w:ascii="Maiandra GD" w:hAnsi="Maiandra GD"/>
              </w:rPr>
              <w:t>To provide the keynote framing on how African skills systems can better connect qualifications to jobs, including insights on labour markets, decent work, and lifelong learning.</w:t>
            </w:r>
          </w:p>
        </w:tc>
      </w:tr>
      <w:tr w:rsidR="00DC4679" w:rsidRPr="00C35158" w14:paraId="6557FD27" w14:textId="77777777" w:rsidTr="00A87408">
        <w:tc>
          <w:tcPr>
            <w:tcW w:w="2970" w:type="dxa"/>
          </w:tcPr>
          <w:p w14:paraId="5864C50C" w14:textId="16B854AA" w:rsidR="00DC4679" w:rsidRPr="00DF744A" w:rsidRDefault="00DC4679" w:rsidP="00BF69B6">
            <w:pPr>
              <w:spacing w:line="360" w:lineRule="auto"/>
              <w:jc w:val="both"/>
              <w:rPr>
                <w:rFonts w:ascii="Maiandra GD" w:hAnsi="Maiandra GD"/>
                <w:b/>
              </w:rPr>
            </w:pPr>
            <w:r w:rsidRPr="00DF744A">
              <w:rPr>
                <w:rFonts w:ascii="Maiandra GD" w:hAnsi="Maiandra GD"/>
                <w:b/>
              </w:rPr>
              <w:t>Panelist</w:t>
            </w:r>
            <w:r w:rsidR="005D14DB">
              <w:rPr>
                <w:rFonts w:ascii="Maiandra GD" w:hAnsi="Maiandra GD"/>
                <w:b/>
              </w:rPr>
              <w:t xml:space="preserve"> 1</w:t>
            </w:r>
            <w:r w:rsidRPr="00DF744A">
              <w:rPr>
                <w:rFonts w:ascii="Maiandra GD" w:hAnsi="Maiandra GD"/>
                <w:b/>
              </w:rPr>
              <w:t xml:space="preserve">: </w:t>
            </w:r>
            <w:r w:rsidR="00BF69B6" w:rsidRPr="00BF69B6">
              <w:rPr>
                <w:rFonts w:ascii="Maiandra GD" w:hAnsi="Maiandra GD"/>
                <w:b/>
              </w:rPr>
              <w:t>Dr. Wanjiru Kariuki – Secretary, State</w:t>
            </w:r>
            <w:r w:rsidR="00BF69B6">
              <w:rPr>
                <w:rFonts w:ascii="Maiandra GD" w:hAnsi="Maiandra GD"/>
                <w:b/>
              </w:rPr>
              <w:t xml:space="preserve"> </w:t>
            </w:r>
            <w:r w:rsidR="00BF69B6" w:rsidRPr="00BF69B6">
              <w:rPr>
                <w:rFonts w:ascii="Maiandra GD" w:hAnsi="Maiandra GD"/>
                <w:b/>
              </w:rPr>
              <w:t>Department for Labour</w:t>
            </w:r>
          </w:p>
        </w:tc>
        <w:tc>
          <w:tcPr>
            <w:tcW w:w="7098" w:type="dxa"/>
          </w:tcPr>
          <w:p w14:paraId="2CE842D0" w14:textId="77777777" w:rsidR="00DC4679" w:rsidRPr="00C35158" w:rsidRDefault="00DC4679" w:rsidP="000F369C">
            <w:pPr>
              <w:spacing w:line="360" w:lineRule="auto"/>
              <w:jc w:val="both"/>
              <w:rPr>
                <w:rFonts w:ascii="Maiandra GD" w:hAnsi="Maiandra GD"/>
                <w:b/>
              </w:rPr>
            </w:pPr>
            <w:r w:rsidRPr="00C35158">
              <w:rPr>
                <w:rStyle w:val="Emphasis"/>
                <w:rFonts w:ascii="Maiandra GD" w:hAnsi="Maiandra GD"/>
              </w:rPr>
              <w:t>Labour market policy and employment systems:</w:t>
            </w:r>
            <w:r w:rsidRPr="00C35158">
              <w:rPr>
                <w:rStyle w:val="Emphasis"/>
              </w:rPr>
              <w:t xml:space="preserve"> </w:t>
            </w:r>
            <w:r w:rsidRPr="00C35158">
              <w:rPr>
                <w:rFonts w:ascii="Maiandra GD" w:hAnsi="Maiandra GD"/>
              </w:rPr>
              <w:t>To highlight the role of government in aligning skills development with labour market needs, including labour market information systems and employment policies.</w:t>
            </w:r>
          </w:p>
        </w:tc>
      </w:tr>
      <w:tr w:rsidR="00DC4679" w:rsidRPr="00C35158" w14:paraId="03614A9C" w14:textId="77777777" w:rsidTr="00A87408">
        <w:tc>
          <w:tcPr>
            <w:tcW w:w="2970" w:type="dxa"/>
          </w:tcPr>
          <w:p w14:paraId="749D5C3B" w14:textId="77777777" w:rsidR="0054642B" w:rsidRPr="0054642B" w:rsidRDefault="00DC4679" w:rsidP="0054642B">
            <w:pPr>
              <w:spacing w:line="360" w:lineRule="auto"/>
              <w:jc w:val="both"/>
              <w:rPr>
                <w:rFonts w:ascii="Maiandra GD" w:hAnsi="Maiandra GD"/>
                <w:b/>
              </w:rPr>
            </w:pPr>
            <w:r w:rsidRPr="00DF744A">
              <w:rPr>
                <w:rFonts w:ascii="Maiandra GD" w:hAnsi="Maiandra GD"/>
                <w:b/>
              </w:rPr>
              <w:t>Panelist</w:t>
            </w:r>
            <w:r w:rsidR="005D14DB">
              <w:rPr>
                <w:rFonts w:ascii="Maiandra GD" w:hAnsi="Maiandra GD"/>
                <w:b/>
              </w:rPr>
              <w:t xml:space="preserve"> 2</w:t>
            </w:r>
            <w:r w:rsidRPr="00DF744A">
              <w:rPr>
                <w:rFonts w:ascii="Maiandra GD" w:hAnsi="Maiandra GD"/>
                <w:b/>
              </w:rPr>
              <w:t xml:space="preserve">: </w:t>
            </w:r>
            <w:r w:rsidR="0054642B" w:rsidRPr="0054642B">
              <w:rPr>
                <w:rFonts w:ascii="Maiandra GD" w:hAnsi="Maiandra GD"/>
                <w:b/>
              </w:rPr>
              <w:t>Mrs. Jacqueline Mugo, EBS - CEO Federation</w:t>
            </w:r>
          </w:p>
          <w:p w14:paraId="7B97A7F7" w14:textId="3894B8F4" w:rsidR="00DC4679" w:rsidRPr="00DF744A" w:rsidRDefault="0054642B" w:rsidP="0054642B">
            <w:pPr>
              <w:spacing w:line="360" w:lineRule="auto"/>
              <w:jc w:val="both"/>
              <w:rPr>
                <w:rFonts w:ascii="Maiandra GD" w:hAnsi="Maiandra GD"/>
                <w:b/>
              </w:rPr>
            </w:pPr>
            <w:r w:rsidRPr="0054642B">
              <w:rPr>
                <w:rFonts w:ascii="Maiandra GD" w:hAnsi="Maiandra GD"/>
                <w:b/>
              </w:rPr>
              <w:t>of Kenya Employers (FKE)</w:t>
            </w:r>
          </w:p>
        </w:tc>
        <w:tc>
          <w:tcPr>
            <w:tcW w:w="7098" w:type="dxa"/>
          </w:tcPr>
          <w:p w14:paraId="0413B707" w14:textId="77777777" w:rsidR="00DC4679" w:rsidRPr="00C35158" w:rsidRDefault="00DC4679" w:rsidP="000F369C">
            <w:pPr>
              <w:spacing w:line="360" w:lineRule="auto"/>
              <w:jc w:val="both"/>
              <w:rPr>
                <w:rFonts w:ascii="Maiandra GD" w:hAnsi="Maiandra GD"/>
                <w:b/>
              </w:rPr>
            </w:pPr>
            <w:r w:rsidRPr="00C35158">
              <w:rPr>
                <w:rStyle w:val="Emphasis"/>
                <w:rFonts w:ascii="Maiandra GD" w:hAnsi="Maiandra GD"/>
              </w:rPr>
              <w:t>Employer perspective and industry demand:</w:t>
            </w:r>
            <w:r w:rsidRPr="00C35158">
              <w:rPr>
                <w:rStyle w:val="Emphasis"/>
              </w:rPr>
              <w:t xml:space="preserve"> </w:t>
            </w:r>
            <w:r w:rsidRPr="00C35158">
              <w:rPr>
                <w:rFonts w:ascii="Maiandra GD" w:hAnsi="Maiandra GD"/>
              </w:rPr>
              <w:t>To provide insight into what employers expect from qualifications, including skills relevance, productivity, and workforce readiness.</w:t>
            </w:r>
          </w:p>
        </w:tc>
      </w:tr>
      <w:tr w:rsidR="00DC4679" w:rsidRPr="00C35158" w14:paraId="6C4F74DF" w14:textId="77777777" w:rsidTr="00A87408">
        <w:tc>
          <w:tcPr>
            <w:tcW w:w="2970" w:type="dxa"/>
          </w:tcPr>
          <w:p w14:paraId="3D05A8A3" w14:textId="77777777" w:rsidR="0054642B" w:rsidRPr="0054642B" w:rsidRDefault="00DC4679" w:rsidP="0054642B">
            <w:pPr>
              <w:spacing w:line="360" w:lineRule="auto"/>
              <w:jc w:val="both"/>
              <w:rPr>
                <w:rFonts w:ascii="Maiandra GD" w:hAnsi="Maiandra GD"/>
                <w:b/>
              </w:rPr>
            </w:pPr>
            <w:r w:rsidRPr="00DF744A">
              <w:rPr>
                <w:rFonts w:ascii="Maiandra GD" w:hAnsi="Maiandra GD"/>
                <w:b/>
              </w:rPr>
              <w:lastRenderedPageBreak/>
              <w:t>Panelist</w:t>
            </w:r>
            <w:r w:rsidR="005D14DB">
              <w:rPr>
                <w:rFonts w:ascii="Maiandra GD" w:hAnsi="Maiandra GD"/>
                <w:b/>
              </w:rPr>
              <w:t xml:space="preserve"> 3</w:t>
            </w:r>
            <w:r w:rsidRPr="00DF744A">
              <w:rPr>
                <w:rFonts w:ascii="Maiandra GD" w:hAnsi="Maiandra GD"/>
                <w:b/>
              </w:rPr>
              <w:t xml:space="preserve">: </w:t>
            </w:r>
            <w:r w:rsidR="0054642B" w:rsidRPr="0054642B">
              <w:rPr>
                <w:rFonts w:ascii="Maiandra GD" w:hAnsi="Maiandra GD"/>
                <w:b/>
              </w:rPr>
              <w:t>Arch. Nyamai Wambua - CEO, Kenya</w:t>
            </w:r>
          </w:p>
          <w:p w14:paraId="1D23502E" w14:textId="77777777" w:rsidR="0054642B" w:rsidRPr="0054642B" w:rsidRDefault="0054642B" w:rsidP="0054642B">
            <w:pPr>
              <w:spacing w:line="360" w:lineRule="auto"/>
              <w:jc w:val="both"/>
              <w:rPr>
                <w:rFonts w:ascii="Maiandra GD" w:hAnsi="Maiandra GD"/>
                <w:b/>
              </w:rPr>
            </w:pPr>
            <w:r w:rsidRPr="0054642B">
              <w:rPr>
                <w:rFonts w:ascii="Maiandra GD" w:hAnsi="Maiandra GD"/>
                <w:b/>
              </w:rPr>
              <w:t>National Federation of Juakali Association</w:t>
            </w:r>
          </w:p>
          <w:p w14:paraId="4677E597" w14:textId="3C882F26" w:rsidR="00DC4679" w:rsidRPr="00DF744A" w:rsidRDefault="0054642B" w:rsidP="0054642B">
            <w:pPr>
              <w:spacing w:line="360" w:lineRule="auto"/>
              <w:jc w:val="both"/>
              <w:rPr>
                <w:rFonts w:ascii="Maiandra GD" w:hAnsi="Maiandra GD"/>
                <w:b/>
              </w:rPr>
            </w:pPr>
            <w:r w:rsidRPr="0054642B">
              <w:rPr>
                <w:rFonts w:ascii="Maiandra GD" w:hAnsi="Maiandra GD"/>
                <w:b/>
              </w:rPr>
              <w:t>(KNFJKA)</w:t>
            </w:r>
          </w:p>
        </w:tc>
        <w:tc>
          <w:tcPr>
            <w:tcW w:w="7098" w:type="dxa"/>
          </w:tcPr>
          <w:p w14:paraId="00AF9E10" w14:textId="77777777" w:rsidR="00DC4679" w:rsidRPr="00C35158" w:rsidRDefault="00DC4679" w:rsidP="000F369C">
            <w:pPr>
              <w:spacing w:line="276" w:lineRule="auto"/>
              <w:jc w:val="both"/>
              <w:rPr>
                <w:rFonts w:ascii="Maiandra GD" w:hAnsi="Maiandra GD"/>
                <w:b/>
              </w:rPr>
            </w:pPr>
            <w:r w:rsidRPr="00C35158">
              <w:rPr>
                <w:rStyle w:val="Emphasis"/>
                <w:rFonts w:ascii="Maiandra GD" w:hAnsi="Maiandra GD"/>
              </w:rPr>
              <w:t>Informal sector and skills recognition:</w:t>
            </w:r>
            <w:r w:rsidRPr="00C35158">
              <w:rPr>
                <w:rStyle w:val="Emphasis"/>
              </w:rPr>
              <w:t xml:space="preserve"> </w:t>
            </w:r>
            <w:r w:rsidRPr="00C35158">
              <w:rPr>
                <w:rFonts w:ascii="Maiandra GD" w:hAnsi="Maiandra GD"/>
              </w:rPr>
              <w:t>To bring perspective on skills development in the informal sector and how these can be recognised and integrated into formal systems.</w:t>
            </w:r>
          </w:p>
        </w:tc>
      </w:tr>
      <w:tr w:rsidR="00DC4679" w:rsidRPr="00C35158" w14:paraId="287887D1" w14:textId="77777777" w:rsidTr="00A87408">
        <w:tc>
          <w:tcPr>
            <w:tcW w:w="2970" w:type="dxa"/>
          </w:tcPr>
          <w:p w14:paraId="5EC7BD8B" w14:textId="77777777" w:rsidR="003C2781" w:rsidRPr="003C2781" w:rsidRDefault="00DC4679" w:rsidP="003C2781">
            <w:pPr>
              <w:spacing w:line="360" w:lineRule="auto"/>
              <w:jc w:val="both"/>
              <w:rPr>
                <w:rFonts w:ascii="Maiandra GD" w:hAnsi="Maiandra GD"/>
                <w:b/>
              </w:rPr>
            </w:pPr>
            <w:r w:rsidRPr="00DF744A">
              <w:rPr>
                <w:rFonts w:ascii="Maiandra GD" w:hAnsi="Maiandra GD"/>
                <w:b/>
              </w:rPr>
              <w:t>Panelist</w:t>
            </w:r>
            <w:r w:rsidR="005D14DB">
              <w:rPr>
                <w:rFonts w:ascii="Maiandra GD" w:hAnsi="Maiandra GD"/>
                <w:b/>
              </w:rPr>
              <w:t xml:space="preserve"> 4</w:t>
            </w:r>
            <w:r w:rsidRPr="00DF744A">
              <w:rPr>
                <w:rFonts w:ascii="Maiandra GD" w:hAnsi="Maiandra GD"/>
                <w:b/>
              </w:rPr>
              <w:t xml:space="preserve">: </w:t>
            </w:r>
            <w:r w:rsidR="003C2781" w:rsidRPr="003C2781">
              <w:rPr>
                <w:rFonts w:ascii="Maiandra GD" w:hAnsi="Maiandra GD"/>
                <w:b/>
              </w:rPr>
              <w:t>Eng. Joseph Njau – Member of Council,</w:t>
            </w:r>
          </w:p>
          <w:p w14:paraId="3F437D88" w14:textId="53B3D6A8" w:rsidR="00DC4679" w:rsidRPr="00DF744A" w:rsidRDefault="003C2781" w:rsidP="003C2781">
            <w:pPr>
              <w:spacing w:line="360" w:lineRule="auto"/>
              <w:jc w:val="both"/>
              <w:rPr>
                <w:rFonts w:ascii="Maiandra GD" w:hAnsi="Maiandra GD"/>
                <w:b/>
              </w:rPr>
            </w:pPr>
            <w:r w:rsidRPr="003C2781">
              <w:rPr>
                <w:rFonts w:ascii="Maiandra GD" w:hAnsi="Maiandra GD"/>
                <w:b/>
              </w:rPr>
              <w:t>KNQA</w:t>
            </w:r>
          </w:p>
        </w:tc>
        <w:tc>
          <w:tcPr>
            <w:tcW w:w="7098" w:type="dxa"/>
          </w:tcPr>
          <w:p w14:paraId="1B33ACCA" w14:textId="353ECBB1" w:rsidR="00DC4679" w:rsidRPr="00C35158" w:rsidRDefault="00DC4679" w:rsidP="000F369C">
            <w:pPr>
              <w:spacing w:line="360" w:lineRule="auto"/>
              <w:jc w:val="both"/>
              <w:rPr>
                <w:rFonts w:ascii="Maiandra GD" w:hAnsi="Maiandra GD"/>
                <w:b/>
              </w:rPr>
            </w:pPr>
            <w:r w:rsidRPr="00C35158">
              <w:rPr>
                <w:rStyle w:val="Emphasis"/>
                <w:rFonts w:ascii="Maiandra GD" w:hAnsi="Maiandra GD"/>
              </w:rPr>
              <w:t>Qualifications system design and implementation</w:t>
            </w:r>
            <w:r w:rsidR="00C17103">
              <w:rPr>
                <w:rStyle w:val="Emphasis"/>
                <w:rFonts w:ascii="Maiandra GD" w:hAnsi="Maiandra GD"/>
              </w:rPr>
              <w:t>:</w:t>
            </w:r>
            <w:r w:rsidR="00C17103">
              <w:rPr>
                <w:rStyle w:val="Emphasis"/>
              </w:rPr>
              <w:t xml:space="preserve"> </w:t>
            </w:r>
            <w:r w:rsidRPr="00C35158">
              <w:rPr>
                <w:rFonts w:ascii="Maiandra GD" w:hAnsi="Maiandra GD"/>
              </w:rPr>
              <w:t>To provide perspective on how the KNQF can support employability, mobility, and lifelong learning through system reforms.</w:t>
            </w:r>
          </w:p>
        </w:tc>
      </w:tr>
      <w:tr w:rsidR="00070360" w:rsidRPr="00C35158" w14:paraId="66F2C82D" w14:textId="77777777" w:rsidTr="00A87408">
        <w:tc>
          <w:tcPr>
            <w:tcW w:w="2970" w:type="dxa"/>
          </w:tcPr>
          <w:p w14:paraId="62B70EE6" w14:textId="77777777" w:rsidR="00070360" w:rsidRPr="00070360" w:rsidRDefault="00070360" w:rsidP="00070360">
            <w:pPr>
              <w:spacing w:line="360" w:lineRule="auto"/>
              <w:jc w:val="both"/>
              <w:rPr>
                <w:rFonts w:ascii="Maiandra GD" w:hAnsi="Maiandra GD"/>
                <w:b/>
              </w:rPr>
            </w:pPr>
            <w:r w:rsidRPr="00070360">
              <w:rPr>
                <w:rFonts w:ascii="Maiandra GD" w:hAnsi="Maiandra GD"/>
                <w:b/>
              </w:rPr>
              <w:t>.Dr. Makhapa Makhafola- COO, South African</w:t>
            </w:r>
          </w:p>
          <w:p w14:paraId="673732F3" w14:textId="23C38225" w:rsidR="00070360" w:rsidRPr="00DF744A" w:rsidRDefault="00070360" w:rsidP="00070360">
            <w:pPr>
              <w:spacing w:line="360" w:lineRule="auto"/>
              <w:jc w:val="both"/>
              <w:rPr>
                <w:rFonts w:ascii="Maiandra GD" w:hAnsi="Maiandra GD"/>
                <w:b/>
              </w:rPr>
            </w:pPr>
            <w:r w:rsidRPr="00070360">
              <w:rPr>
                <w:rFonts w:ascii="Maiandra GD" w:hAnsi="Maiandra GD"/>
                <w:b/>
              </w:rPr>
              <w:t>Qualifications Authority (SAQA)</w:t>
            </w:r>
          </w:p>
        </w:tc>
        <w:tc>
          <w:tcPr>
            <w:tcW w:w="7098" w:type="dxa"/>
          </w:tcPr>
          <w:p w14:paraId="5F3ABB70" w14:textId="77777777" w:rsidR="00070360" w:rsidRDefault="00106142" w:rsidP="000F369C">
            <w:pPr>
              <w:spacing w:line="360" w:lineRule="auto"/>
              <w:jc w:val="both"/>
              <w:rPr>
                <w:rFonts w:ascii="Maiandra GD" w:hAnsi="Maiandra GD"/>
                <w:i/>
                <w:iCs/>
              </w:rPr>
            </w:pPr>
            <w:r w:rsidRPr="00106142">
              <w:rPr>
                <w:rFonts w:ascii="Maiandra GD" w:hAnsi="Maiandra GD"/>
                <w:i/>
                <w:iCs/>
              </w:rPr>
              <w:t>Regional qualifications integration, Recognition of Prior Learning (RPL), and labour mobility within African qualifications frameworks.</w:t>
            </w:r>
          </w:p>
          <w:p w14:paraId="4BAA7FB9" w14:textId="4B530B31" w:rsidR="00106142" w:rsidRPr="0000412C" w:rsidRDefault="0000412C" w:rsidP="000F369C">
            <w:pPr>
              <w:spacing w:line="360" w:lineRule="auto"/>
              <w:jc w:val="both"/>
              <w:rPr>
                <w:rStyle w:val="Emphasis"/>
                <w:rFonts w:ascii="Maiandra GD" w:hAnsi="Maiandra GD"/>
                <w:iCs w:val="0"/>
              </w:rPr>
            </w:pPr>
            <w:r w:rsidRPr="007425C8">
              <w:rPr>
                <w:rFonts w:ascii="Maiandra GD" w:hAnsi="Maiandra GD"/>
              </w:rPr>
              <w:t>To provide a continental and regional qualifications perspective by drawing lessons from South Africa’s experience with the South African National Qualifications Framework (NQF), RPL systems, and qualification recognition mechanisms. The discussion will highlight how African qualifications authorities can strengthen comparability, portability, and trust in qualifications to support employability, cross-border labour mobility, lifelong learning, and regional integration under frameworks such as the African Continental Qualifications Framework (ACQF). It will also provide insights into how qualifications systems can better recognize skills acquired through formal, non-formal, and informal learning pathways.</w:t>
            </w:r>
          </w:p>
        </w:tc>
      </w:tr>
      <w:tr w:rsidR="00D95CA0" w:rsidRPr="00C35158" w14:paraId="25D766C4" w14:textId="77777777" w:rsidTr="00A87408">
        <w:tc>
          <w:tcPr>
            <w:tcW w:w="2970" w:type="dxa"/>
          </w:tcPr>
          <w:p w14:paraId="43876EBD" w14:textId="77777777" w:rsidR="00D95CA0" w:rsidRPr="007F013B" w:rsidRDefault="00D95CA0" w:rsidP="00916E8D">
            <w:pPr>
              <w:spacing w:line="360" w:lineRule="auto"/>
              <w:jc w:val="both"/>
              <w:rPr>
                <w:rFonts w:ascii="Maiandra GD" w:hAnsi="Maiandra GD"/>
                <w:b/>
                <w:bCs/>
              </w:rPr>
            </w:pPr>
            <w:r w:rsidRPr="007F013B">
              <w:rPr>
                <w:rFonts w:ascii="Maiandra GD" w:hAnsi="Maiandra GD"/>
                <w:b/>
                <w:bCs/>
              </w:rPr>
              <w:t>Moderator: Prof. Maurice Okoth</w:t>
            </w:r>
          </w:p>
          <w:p w14:paraId="41EDDDCB" w14:textId="77777777" w:rsidR="00D95CA0" w:rsidRPr="00916E8D" w:rsidRDefault="00D95CA0" w:rsidP="00BB1E28">
            <w:pPr>
              <w:spacing w:line="360" w:lineRule="auto"/>
              <w:jc w:val="both"/>
              <w:rPr>
                <w:rStyle w:val="whitespace-normal"/>
              </w:rPr>
            </w:pPr>
          </w:p>
        </w:tc>
        <w:tc>
          <w:tcPr>
            <w:tcW w:w="7098" w:type="dxa"/>
          </w:tcPr>
          <w:p w14:paraId="5D627961" w14:textId="2D9C05BB" w:rsidR="00D95CA0" w:rsidRPr="00D05209" w:rsidRDefault="002B30F6" w:rsidP="00BB1E28">
            <w:pPr>
              <w:spacing w:line="360" w:lineRule="auto"/>
              <w:jc w:val="both"/>
              <w:rPr>
                <w:rFonts w:ascii="Maiandra GD" w:hAnsi="Maiandra GD"/>
              </w:rPr>
            </w:pPr>
            <w:r w:rsidRPr="00D05209">
              <w:rPr>
                <w:rFonts w:ascii="Maiandra GD" w:hAnsi="Maiandra GD"/>
              </w:rPr>
              <w:t>To guide the session by framing the central challenge of how qualifications systems can move beyond certification to effectively deliver jobs, productivity, and lifelong learning opportunities. The discussion should be steered toward practical linkages between skills development and labour market demand, drawing out insights from panelists on competency-based training, apprenticeships, labour market intelligence, and employer engagement. Emphasis should be placed on identifying barriers that prevent qualifications from translating into employment, and on actionable solutions such as RPL, micro-credentials, and work-based learning. The session should conclude with a clear synthesis highlighting the need for demand-driven, inclusive, and flexible qualifications systems that support employability, mobility, and lifelong learning across Kenya and the wider African context.</w:t>
            </w:r>
          </w:p>
        </w:tc>
      </w:tr>
    </w:tbl>
    <w:p w14:paraId="32FF2CE0" w14:textId="77777777" w:rsidR="00DC4679" w:rsidRPr="00C35158" w:rsidRDefault="00DC4679" w:rsidP="00DC4679">
      <w:pPr>
        <w:spacing w:line="360" w:lineRule="auto"/>
        <w:jc w:val="both"/>
        <w:rPr>
          <w:rFonts w:ascii="Maiandra GD" w:hAnsi="Maiandra GD"/>
          <w:sz w:val="22"/>
        </w:rPr>
      </w:pPr>
    </w:p>
    <w:p w14:paraId="3464A861" w14:textId="77777777" w:rsidR="00072457" w:rsidRDefault="00072457">
      <w:pPr>
        <w:rPr>
          <w:rFonts w:ascii="Maiandra GD" w:eastAsiaTheme="majorEastAsia" w:hAnsi="Maiandra GD" w:cstheme="majorBidi"/>
          <w:color w:val="2F5496" w:themeColor="accent1" w:themeShade="BF"/>
          <w:sz w:val="22"/>
          <w:szCs w:val="22"/>
        </w:rPr>
      </w:pPr>
      <w:r>
        <w:rPr>
          <w:rFonts w:ascii="Maiandra GD" w:hAnsi="Maiandra GD"/>
          <w:sz w:val="22"/>
          <w:szCs w:val="22"/>
        </w:rPr>
        <w:br w:type="page"/>
      </w:r>
    </w:p>
    <w:p w14:paraId="1F92A733" w14:textId="6B659DD3" w:rsidR="00DC4679" w:rsidRPr="005B151B" w:rsidRDefault="00DC4679" w:rsidP="00DC4679">
      <w:pPr>
        <w:pStyle w:val="Heading1"/>
        <w:numPr>
          <w:ilvl w:val="0"/>
          <w:numId w:val="11"/>
        </w:numPr>
        <w:tabs>
          <w:tab w:val="num" w:pos="360"/>
        </w:tabs>
        <w:spacing w:line="360" w:lineRule="auto"/>
        <w:ind w:left="360" w:firstLine="0"/>
        <w:jc w:val="both"/>
        <w:rPr>
          <w:rFonts w:ascii="Maiandra GD" w:hAnsi="Maiandra GD"/>
          <w:b/>
          <w:bCs/>
          <w:sz w:val="22"/>
          <w:szCs w:val="22"/>
        </w:rPr>
      </w:pPr>
      <w:r w:rsidRPr="005B151B">
        <w:rPr>
          <w:rFonts w:ascii="Maiandra GD" w:hAnsi="Maiandra GD"/>
          <w:b/>
          <w:bCs/>
          <w:sz w:val="22"/>
          <w:szCs w:val="22"/>
        </w:rPr>
        <w:lastRenderedPageBreak/>
        <w:t>Guiding Questions for the Panel</w:t>
      </w:r>
    </w:p>
    <w:p w14:paraId="582512AA" w14:textId="77777777" w:rsidR="00DC4679" w:rsidRPr="00C35158" w:rsidRDefault="00DC4679" w:rsidP="00DC4679">
      <w:pPr>
        <w:pStyle w:val="ListParagraph"/>
        <w:numPr>
          <w:ilvl w:val="0"/>
          <w:numId w:val="12"/>
        </w:numPr>
        <w:spacing w:after="0" w:line="480" w:lineRule="auto"/>
        <w:jc w:val="both"/>
        <w:rPr>
          <w:rFonts w:ascii="Maiandra GD" w:eastAsia="Times New Roman" w:hAnsi="Maiandra GD" w:cs="Times New Roman"/>
          <w:sz w:val="22"/>
          <w:lang w:val="en-GB" w:eastAsia="en-GB"/>
        </w:rPr>
      </w:pPr>
      <w:r w:rsidRPr="00C35158">
        <w:rPr>
          <w:rFonts w:ascii="Maiandra GD" w:eastAsia="Times New Roman" w:hAnsi="Maiandra GD" w:cs="Times New Roman"/>
          <w:sz w:val="22"/>
          <w:lang w:val="en-GB" w:eastAsia="en-GB"/>
        </w:rPr>
        <w:t xml:space="preserve">How can qualifications systems better respond to labour market demand and emeeging skills needs?  </w:t>
      </w:r>
      <w:r w:rsidRPr="00C35158">
        <w:rPr>
          <w:rFonts w:ascii="Maiandra GD" w:eastAsia="Times New Roman" w:hAnsi="Maiandra GD" w:cs="Times New Roman"/>
          <w:i/>
          <w:sz w:val="22"/>
          <w:lang w:val="en-GB" w:eastAsia="en-GB"/>
        </w:rPr>
        <w:t>(Addressed to: ALL)</w:t>
      </w:r>
    </w:p>
    <w:p w14:paraId="2149EB03" w14:textId="77777777" w:rsidR="00DC4679" w:rsidRPr="00C35158" w:rsidRDefault="00DC4679" w:rsidP="00DC4679">
      <w:pPr>
        <w:pStyle w:val="ListParagraph"/>
        <w:numPr>
          <w:ilvl w:val="0"/>
          <w:numId w:val="12"/>
        </w:numPr>
        <w:spacing w:after="0" w:line="480" w:lineRule="auto"/>
        <w:jc w:val="both"/>
        <w:rPr>
          <w:rFonts w:ascii="Maiandra GD" w:eastAsia="Times New Roman" w:hAnsi="Maiandra GD" w:cs="Times New Roman"/>
          <w:i/>
          <w:sz w:val="22"/>
          <w:lang w:val="en-GB" w:eastAsia="en-GB"/>
        </w:rPr>
      </w:pPr>
      <w:r w:rsidRPr="00C35158">
        <w:rPr>
          <w:rFonts w:ascii="Maiandra GD" w:eastAsia="Times New Roman" w:hAnsi="Maiandra GD" w:cs="Times New Roman"/>
          <w:sz w:val="22"/>
          <w:lang w:val="en-GB" w:eastAsia="en-GB"/>
        </w:rPr>
        <w:t xml:space="preserve">What are the main barriers preventing qualifications from translating into jobs and how can they be addressed? </w:t>
      </w:r>
      <w:r w:rsidRPr="00C35158">
        <w:rPr>
          <w:rFonts w:ascii="Maiandra GD" w:eastAsia="Times New Roman" w:hAnsi="Maiandra GD" w:cs="Times New Roman"/>
          <w:i/>
          <w:sz w:val="22"/>
          <w:lang w:val="en-GB" w:eastAsia="en-GB"/>
        </w:rPr>
        <w:t xml:space="preserve">(Addressed to Mrs. Jacqueline Mugo, EBS – CEO, Federation of Kenya Employers (FKE)  </w:t>
      </w:r>
    </w:p>
    <w:p w14:paraId="2BC9911B" w14:textId="77777777" w:rsidR="00DC4679" w:rsidRPr="007425C8" w:rsidRDefault="00DC4679" w:rsidP="00DC4679">
      <w:pPr>
        <w:pStyle w:val="ListParagraph"/>
        <w:numPr>
          <w:ilvl w:val="0"/>
          <w:numId w:val="12"/>
        </w:numPr>
        <w:spacing w:after="0" w:line="480" w:lineRule="auto"/>
        <w:jc w:val="both"/>
        <w:rPr>
          <w:rFonts w:ascii="Maiandra GD" w:eastAsia="Times New Roman" w:hAnsi="Maiandra GD" w:cs="Times New Roman"/>
          <w:sz w:val="22"/>
          <w:lang w:val="en-GB" w:eastAsia="en-GB"/>
        </w:rPr>
      </w:pPr>
      <w:r w:rsidRPr="00C35158">
        <w:rPr>
          <w:rFonts w:ascii="Maiandra GD" w:eastAsia="Times New Roman" w:hAnsi="Maiandra GD" w:cs="Times New Roman"/>
          <w:sz w:val="22"/>
          <w:lang w:val="en-GB" w:eastAsia="en-GB"/>
        </w:rPr>
        <w:t xml:space="preserve">How can CBE, apprenticeships and work-based learning strengthen employability and job readiness? </w:t>
      </w:r>
      <w:r w:rsidRPr="00C35158">
        <w:rPr>
          <w:rFonts w:ascii="Maiandra GD" w:eastAsia="Times New Roman" w:hAnsi="Maiandra GD" w:cs="Times New Roman"/>
          <w:i/>
          <w:sz w:val="22"/>
          <w:lang w:val="en-GB" w:eastAsia="en-GB"/>
        </w:rPr>
        <w:t>(Addressed to Dr. Wanjiru Kariuki – Secretary, State Department for Labour, Eng. Joseph Njau – Member of Council, KNQA)</w:t>
      </w:r>
    </w:p>
    <w:p w14:paraId="7D4B217F" w14:textId="0C1C3E8C" w:rsidR="00152F87" w:rsidRPr="00152F87" w:rsidRDefault="00152F87" w:rsidP="00152F87">
      <w:pPr>
        <w:pStyle w:val="ListParagraph"/>
        <w:numPr>
          <w:ilvl w:val="0"/>
          <w:numId w:val="12"/>
        </w:numPr>
        <w:spacing w:after="0" w:line="480" w:lineRule="auto"/>
        <w:jc w:val="both"/>
        <w:rPr>
          <w:rFonts w:ascii="Maiandra GD" w:eastAsia="Times New Roman" w:hAnsi="Maiandra GD" w:cs="Times New Roman"/>
          <w:sz w:val="22"/>
          <w:lang w:val="en-GB" w:eastAsia="en-GB"/>
        </w:rPr>
      </w:pPr>
      <w:r w:rsidRPr="00152F87">
        <w:rPr>
          <w:rFonts w:ascii="Maiandra GD" w:eastAsia="Times New Roman" w:hAnsi="Maiandra GD" w:cs="Times New Roman"/>
          <w:sz w:val="22"/>
          <w:lang w:eastAsia="en-GB"/>
        </w:rPr>
        <w:t>Drawing from South Africa’s experience, what practical lessons can African countries learn in strengthening Recognition of Prior Learning (RPL) and ensuring that informal and workplace-acquired skills translate into recognised qualifications and employment opportunities? (</w:t>
      </w:r>
      <w:r w:rsidRPr="00152F87">
        <w:rPr>
          <w:rFonts w:ascii="Maiandra GD" w:eastAsia="Times New Roman" w:hAnsi="Maiandra GD" w:cs="Times New Roman"/>
          <w:i/>
          <w:sz w:val="22"/>
          <w:lang w:val="en-GB" w:eastAsia="en-GB"/>
        </w:rPr>
        <w:t>Addressed to Dr. Makhapa Makhafola- COO, South African</w:t>
      </w:r>
      <w:r>
        <w:rPr>
          <w:rFonts w:ascii="Maiandra GD" w:eastAsia="Times New Roman" w:hAnsi="Maiandra GD" w:cs="Times New Roman"/>
          <w:i/>
          <w:sz w:val="22"/>
          <w:lang w:val="en-GB" w:eastAsia="en-GB"/>
        </w:rPr>
        <w:t xml:space="preserve"> </w:t>
      </w:r>
      <w:r w:rsidRPr="00152F87">
        <w:rPr>
          <w:rFonts w:ascii="Maiandra GD" w:eastAsia="Times New Roman" w:hAnsi="Maiandra GD" w:cs="Times New Roman"/>
          <w:i/>
          <w:sz w:val="22"/>
          <w:lang w:val="en-GB" w:eastAsia="en-GB"/>
        </w:rPr>
        <w:t>Qualifications Authority (SAQA))</w:t>
      </w:r>
    </w:p>
    <w:p w14:paraId="6ED0896E" w14:textId="77777777" w:rsidR="00DC4679" w:rsidRPr="00C35158" w:rsidRDefault="00DC4679" w:rsidP="00DC4679">
      <w:pPr>
        <w:pStyle w:val="ListParagraph"/>
        <w:numPr>
          <w:ilvl w:val="0"/>
          <w:numId w:val="12"/>
        </w:numPr>
        <w:spacing w:after="0" w:line="480" w:lineRule="auto"/>
        <w:jc w:val="both"/>
        <w:rPr>
          <w:rFonts w:ascii="Maiandra GD" w:eastAsia="Times New Roman" w:hAnsi="Maiandra GD" w:cs="Times New Roman"/>
          <w:i/>
          <w:sz w:val="22"/>
          <w:lang w:val="en-GB" w:eastAsia="en-GB"/>
        </w:rPr>
      </w:pPr>
      <w:r w:rsidRPr="00C35158">
        <w:rPr>
          <w:rFonts w:ascii="Maiandra GD" w:eastAsia="Times New Roman" w:hAnsi="Maiandra GD" w:cs="Times New Roman"/>
          <w:sz w:val="22"/>
          <w:lang w:val="en-GB" w:eastAsia="en-GB"/>
        </w:rPr>
        <w:t>What role does the informal sector play in skills development, and how can its skills be better recognised and integrated?</w:t>
      </w:r>
      <w:r w:rsidRPr="00C35158" w:rsidDel="002C29CD">
        <w:rPr>
          <w:rFonts w:ascii="Maiandra GD" w:eastAsia="Times New Roman" w:hAnsi="Maiandra GD" w:cs="Times New Roman"/>
          <w:sz w:val="22"/>
          <w:lang w:val="en-GB" w:eastAsia="en-GB"/>
        </w:rPr>
        <w:t xml:space="preserve"> </w:t>
      </w:r>
      <w:r w:rsidRPr="00C35158">
        <w:rPr>
          <w:rFonts w:ascii="Maiandra GD" w:eastAsia="Times New Roman" w:hAnsi="Maiandra GD" w:cs="Times New Roman"/>
          <w:i/>
          <w:sz w:val="22"/>
          <w:lang w:val="en-GB" w:eastAsia="en-GB"/>
        </w:rPr>
        <w:t xml:space="preserve">(Addressed to Arch. Nyamai Wambua – CEO, Kenya National Federation of Jua Kali Associations (KNFJKA) </w:t>
      </w:r>
    </w:p>
    <w:p w14:paraId="51352BE2" w14:textId="77777777" w:rsidR="00DC4679" w:rsidRPr="00C35158" w:rsidRDefault="00DC4679" w:rsidP="00DC4679">
      <w:pPr>
        <w:pStyle w:val="ListParagraph"/>
        <w:numPr>
          <w:ilvl w:val="0"/>
          <w:numId w:val="12"/>
        </w:numPr>
        <w:spacing w:after="0" w:line="480" w:lineRule="auto"/>
        <w:jc w:val="both"/>
        <w:rPr>
          <w:rFonts w:ascii="Maiandra GD" w:eastAsia="Times New Roman" w:hAnsi="Maiandra GD" w:cs="Times New Roman"/>
          <w:sz w:val="22"/>
          <w:lang w:val="en-GB" w:eastAsia="en-GB"/>
        </w:rPr>
      </w:pPr>
      <w:r w:rsidRPr="00C35158">
        <w:rPr>
          <w:rFonts w:ascii="Maiandra GD" w:eastAsia="Times New Roman" w:hAnsi="Maiandra GD" w:cs="Times New Roman"/>
          <w:sz w:val="22"/>
          <w:lang w:val="en-GB" w:eastAsia="en-GB"/>
        </w:rPr>
        <w:t>How can RPL, micro-credentials, and modular pathways support lifelong learning, reskilling, and career mobility?</w:t>
      </w:r>
      <w:r w:rsidRPr="00C35158" w:rsidDel="002C29CD">
        <w:rPr>
          <w:rFonts w:ascii="Maiandra GD" w:eastAsia="Times New Roman" w:hAnsi="Maiandra GD" w:cs="Times New Roman"/>
          <w:sz w:val="22"/>
          <w:lang w:val="en-GB" w:eastAsia="en-GB"/>
        </w:rPr>
        <w:t xml:space="preserve"> </w:t>
      </w:r>
      <w:r w:rsidRPr="00C35158">
        <w:rPr>
          <w:rFonts w:ascii="Maiandra GD" w:eastAsia="Times New Roman" w:hAnsi="Maiandra GD" w:cs="Times New Roman"/>
          <w:i/>
          <w:sz w:val="22"/>
          <w:lang w:val="en-GB" w:eastAsia="en-GB"/>
        </w:rPr>
        <w:t>(Addressed to Eng. Joseph Njau – Member of Council, KNQA)</w:t>
      </w:r>
    </w:p>
    <w:p w14:paraId="4AFF2277" w14:textId="77777777" w:rsidR="00B433E8" w:rsidRPr="00B433E8" w:rsidRDefault="00DC4679" w:rsidP="00B433E8">
      <w:pPr>
        <w:pStyle w:val="ListParagraph"/>
        <w:numPr>
          <w:ilvl w:val="0"/>
          <w:numId w:val="12"/>
        </w:numPr>
        <w:spacing w:after="0" w:line="480" w:lineRule="auto"/>
        <w:jc w:val="both"/>
        <w:rPr>
          <w:rFonts w:ascii="Maiandra GD" w:eastAsia="Times New Roman" w:hAnsi="Maiandra GD" w:cs="Times New Roman"/>
          <w:sz w:val="22"/>
          <w:lang w:val="en-GB" w:eastAsia="en-GB"/>
        </w:rPr>
      </w:pPr>
      <w:r w:rsidRPr="00C35158">
        <w:rPr>
          <w:rFonts w:ascii="Maiandra GD" w:eastAsia="Times New Roman" w:hAnsi="Maiandra GD" w:cs="Times New Roman"/>
          <w:sz w:val="22"/>
          <w:lang w:val="en-GB" w:eastAsia="en-GB"/>
        </w:rPr>
        <w:t xml:space="preserve">What strategies can strengthen labour mobility within Kenya and across Africa? </w:t>
      </w:r>
      <w:r w:rsidRPr="00C35158">
        <w:rPr>
          <w:rFonts w:ascii="Maiandra GD" w:eastAsia="Times New Roman" w:hAnsi="Maiandra GD" w:cs="Times New Roman"/>
          <w:i/>
          <w:sz w:val="22"/>
          <w:lang w:val="en-GB" w:eastAsia="en-GB"/>
        </w:rPr>
        <w:t>(Dr. Wanjiru Kariuki – Secretary, State Department for Labour)</w:t>
      </w:r>
      <w:r w:rsidR="008851EC" w:rsidRPr="008851EC">
        <w:rPr>
          <w:rFonts w:ascii="Maiandra GD" w:eastAsia="Times New Roman" w:hAnsi="Maiandra GD" w:cs="Times New Roman"/>
          <w:sz w:val="22"/>
          <w:lang w:eastAsia="en-GB"/>
        </w:rPr>
        <w:t xml:space="preserve"> </w:t>
      </w:r>
    </w:p>
    <w:p w14:paraId="2B5CAB73" w14:textId="159D34CC" w:rsidR="007425C8" w:rsidRPr="00B433E8" w:rsidRDefault="007425C8" w:rsidP="00B433E8">
      <w:pPr>
        <w:pStyle w:val="ListParagraph"/>
        <w:numPr>
          <w:ilvl w:val="0"/>
          <w:numId w:val="12"/>
        </w:numPr>
        <w:spacing w:after="0" w:line="480" w:lineRule="auto"/>
        <w:jc w:val="both"/>
        <w:rPr>
          <w:rFonts w:ascii="Maiandra GD" w:eastAsia="Times New Roman" w:hAnsi="Maiandra GD" w:cs="Times New Roman"/>
          <w:sz w:val="22"/>
          <w:lang w:val="en-GB" w:eastAsia="en-GB"/>
        </w:rPr>
      </w:pPr>
      <w:r w:rsidRPr="00B433E8">
        <w:rPr>
          <w:rFonts w:ascii="Maiandra GD" w:eastAsia="Times New Roman" w:hAnsi="Maiandra GD" w:cs="Times New Roman"/>
          <w:sz w:val="22"/>
          <w:lang w:eastAsia="en-GB"/>
        </w:rPr>
        <w:t>How can African qualifications authorities work together to improve regional comparability, trust, and portability of qualifications in order to support labour mobility, employability, and lifelong learning across the continent?</w:t>
      </w:r>
      <w:r w:rsidRPr="00B433E8">
        <w:rPr>
          <w:rFonts w:ascii="Maiandra GD" w:eastAsia="Times New Roman" w:hAnsi="Maiandra GD" w:cs="Times New Roman"/>
          <w:i/>
          <w:iCs/>
          <w:sz w:val="22"/>
          <w:lang w:eastAsia="en-GB"/>
        </w:rPr>
        <w:t xml:space="preserve"> (</w:t>
      </w:r>
      <w:r w:rsidRPr="00B433E8">
        <w:rPr>
          <w:rFonts w:ascii="Maiandra GD" w:eastAsia="Times New Roman" w:hAnsi="Maiandra GD" w:cs="Times New Roman"/>
          <w:i/>
          <w:sz w:val="22"/>
          <w:lang w:val="en-GB" w:eastAsia="en-GB"/>
        </w:rPr>
        <w:t>Addressed to Dr. Makhapa Makhafola- COO, South African Qualifications Authority (SAQA))</w:t>
      </w:r>
    </w:p>
    <w:p w14:paraId="03FC1FC7" w14:textId="4E6D6E93" w:rsidR="00DC4679" w:rsidRPr="00C35158" w:rsidRDefault="00DC4679" w:rsidP="00DC4679">
      <w:pPr>
        <w:pStyle w:val="ListParagraph"/>
        <w:numPr>
          <w:ilvl w:val="0"/>
          <w:numId w:val="12"/>
        </w:numPr>
        <w:spacing w:after="0" w:line="480" w:lineRule="auto"/>
        <w:jc w:val="both"/>
        <w:rPr>
          <w:rFonts w:ascii="Maiandra GD" w:eastAsia="Times New Roman" w:hAnsi="Maiandra GD" w:cs="Times New Roman"/>
          <w:sz w:val="22"/>
          <w:lang w:val="en-GB" w:eastAsia="en-GB"/>
        </w:rPr>
      </w:pPr>
      <w:r w:rsidRPr="00C35158">
        <w:rPr>
          <w:rFonts w:ascii="Maiandra GD" w:eastAsia="Times New Roman" w:hAnsi="Maiandra GD" w:cs="Times New Roman"/>
          <w:sz w:val="22"/>
          <w:lang w:val="en-GB" w:eastAsia="en-GB"/>
        </w:rPr>
        <w:t xml:space="preserve">What policy and institutional reforms are needed to ensure stronger alignment between skills development and employment outcomes? </w:t>
      </w:r>
      <w:r w:rsidRPr="00C35158">
        <w:rPr>
          <w:rFonts w:ascii="Maiandra GD" w:eastAsia="Times New Roman" w:hAnsi="Maiandra GD" w:cs="Times New Roman"/>
          <w:i/>
          <w:sz w:val="22"/>
          <w:lang w:val="en-GB" w:eastAsia="en-GB"/>
        </w:rPr>
        <w:t>(ALL)</w:t>
      </w:r>
    </w:p>
    <w:p w14:paraId="403EAAEB" w14:textId="2C4C39A0" w:rsidR="006C1D8A" w:rsidRPr="00916E8D" w:rsidRDefault="00DC4679" w:rsidP="00A22390">
      <w:pPr>
        <w:pStyle w:val="ListParagraph"/>
        <w:numPr>
          <w:ilvl w:val="0"/>
          <w:numId w:val="12"/>
        </w:numPr>
        <w:spacing w:after="0" w:line="480" w:lineRule="auto"/>
        <w:jc w:val="both"/>
        <w:rPr>
          <w:rFonts w:ascii="Maiandra GD" w:eastAsia="Times New Roman" w:hAnsi="Maiandra GD" w:cs="Times New Roman"/>
          <w:sz w:val="22"/>
          <w:lang w:val="en-GB" w:eastAsia="en-GB"/>
        </w:rPr>
      </w:pPr>
      <w:r w:rsidRPr="006C1D8A">
        <w:rPr>
          <w:rFonts w:ascii="Maiandra GD" w:eastAsia="Times New Roman" w:hAnsi="Maiandra GD" w:cs="Times New Roman"/>
          <w:sz w:val="22"/>
          <w:lang w:val="en-GB" w:eastAsia="en-GB"/>
        </w:rPr>
        <w:t xml:space="preserve">How can partnerships between government, industry and qualifications bodies be enhanced? </w:t>
      </w:r>
      <w:r w:rsidRPr="006C1D8A">
        <w:rPr>
          <w:rFonts w:ascii="Maiandra GD" w:eastAsia="Times New Roman" w:hAnsi="Maiandra GD" w:cs="Times New Roman"/>
          <w:i/>
          <w:sz w:val="22"/>
          <w:lang w:val="en-GB" w:eastAsia="en-GB"/>
        </w:rPr>
        <w:t>(ALL)</w:t>
      </w:r>
    </w:p>
    <w:p w14:paraId="2D298B23" w14:textId="77777777" w:rsidR="00DC4679" w:rsidRPr="005B151B" w:rsidRDefault="00DC4679" w:rsidP="00DC4679">
      <w:pPr>
        <w:pStyle w:val="Heading1"/>
        <w:numPr>
          <w:ilvl w:val="0"/>
          <w:numId w:val="11"/>
        </w:numPr>
        <w:tabs>
          <w:tab w:val="num" w:pos="360"/>
        </w:tabs>
        <w:spacing w:line="360" w:lineRule="auto"/>
        <w:ind w:left="360" w:firstLine="0"/>
        <w:jc w:val="both"/>
        <w:rPr>
          <w:rFonts w:ascii="Maiandra GD" w:hAnsi="Maiandra GD"/>
          <w:b/>
          <w:bCs/>
          <w:sz w:val="22"/>
          <w:szCs w:val="22"/>
        </w:rPr>
      </w:pPr>
      <w:r w:rsidRPr="005B151B">
        <w:rPr>
          <w:rFonts w:ascii="Maiandra GD" w:hAnsi="Maiandra GD"/>
          <w:b/>
          <w:bCs/>
          <w:sz w:val="22"/>
          <w:szCs w:val="22"/>
        </w:rPr>
        <w:lastRenderedPageBreak/>
        <w:t>Suggested Moderator Framing</w:t>
      </w:r>
    </w:p>
    <w:tbl>
      <w:tblPr>
        <w:tblW w:w="0" w:type="auto"/>
        <w:jc w:val="center"/>
        <w:tblLook w:val="04A0" w:firstRow="1" w:lastRow="0" w:firstColumn="1" w:lastColumn="0" w:noHBand="0" w:noVBand="1"/>
      </w:tblPr>
      <w:tblGrid>
        <w:gridCol w:w="9893"/>
      </w:tblGrid>
      <w:tr w:rsidR="00DC4679" w:rsidRPr="00C35158" w14:paraId="75C9FC88" w14:textId="77777777" w:rsidTr="000F369C">
        <w:trPr>
          <w:jc w:val="center"/>
        </w:trPr>
        <w:tc>
          <w:tcPr>
            <w:tcW w:w="9936" w:type="dxa"/>
            <w:shd w:val="clear" w:color="auto" w:fill="F3F7FB"/>
            <w:tcMar>
              <w:top w:w="120" w:type="dxa"/>
              <w:left w:w="160" w:type="dxa"/>
              <w:bottom w:w="120" w:type="dxa"/>
              <w:right w:w="160" w:type="dxa"/>
            </w:tcMar>
            <w:vAlign w:val="center"/>
          </w:tcPr>
          <w:p w14:paraId="2DCB92C3" w14:textId="77777777" w:rsidR="00DC4679" w:rsidRPr="00C35158" w:rsidRDefault="00DC4679" w:rsidP="000F369C">
            <w:pPr>
              <w:spacing w:after="0" w:line="360" w:lineRule="auto"/>
              <w:jc w:val="both"/>
              <w:rPr>
                <w:rFonts w:ascii="Maiandra GD" w:hAnsi="Maiandra GD"/>
                <w:sz w:val="22"/>
              </w:rPr>
            </w:pPr>
            <w:r w:rsidRPr="00C35158">
              <w:rPr>
                <w:rFonts w:ascii="Maiandra GD" w:hAnsi="Maiandra GD"/>
                <w:b/>
                <w:bCs/>
                <w:color w:val="28435D"/>
                <w:sz w:val="22"/>
                <w:lang w:val="en-GB"/>
              </w:rPr>
              <w:t>How can Africa’s qualifications systems move beyond certification to become effective bridges between skills development and employment, ensuring that learning leads to real opportunities, mobility, and lifelong progression in a rapidly changing labour market?</w:t>
            </w:r>
          </w:p>
        </w:tc>
      </w:tr>
    </w:tbl>
    <w:p w14:paraId="0884147A" w14:textId="77777777" w:rsidR="00DC4679" w:rsidRPr="005B151B" w:rsidRDefault="00DC4679" w:rsidP="00DC4679">
      <w:pPr>
        <w:pStyle w:val="Heading1"/>
        <w:numPr>
          <w:ilvl w:val="0"/>
          <w:numId w:val="11"/>
        </w:numPr>
        <w:tabs>
          <w:tab w:val="num" w:pos="360"/>
        </w:tabs>
        <w:spacing w:line="360" w:lineRule="auto"/>
        <w:ind w:left="360" w:firstLine="0"/>
        <w:jc w:val="both"/>
        <w:rPr>
          <w:rFonts w:ascii="Maiandra GD" w:hAnsi="Maiandra GD"/>
          <w:b/>
          <w:bCs/>
          <w:sz w:val="22"/>
          <w:szCs w:val="22"/>
        </w:rPr>
      </w:pPr>
      <w:r w:rsidRPr="005B151B">
        <w:rPr>
          <w:rFonts w:ascii="Maiandra GD" w:hAnsi="Maiandra GD"/>
          <w:b/>
          <w:bCs/>
          <w:sz w:val="22"/>
          <w:szCs w:val="22"/>
        </w:rPr>
        <w:t>Key Closing Message</w:t>
      </w:r>
    </w:p>
    <w:p w14:paraId="4E1233E2" w14:textId="44E6F9FB" w:rsidR="00DC4679" w:rsidRPr="00C35158" w:rsidRDefault="00DC4679" w:rsidP="00DC4679">
      <w:pPr>
        <w:spacing w:before="40" w:after="40" w:line="360" w:lineRule="auto"/>
        <w:ind w:left="288" w:right="288"/>
        <w:jc w:val="both"/>
        <w:rPr>
          <w:rFonts w:ascii="Maiandra GD" w:hAnsi="Maiandra GD"/>
          <w:i/>
          <w:color w:val="2E4C64"/>
          <w:sz w:val="22"/>
        </w:rPr>
      </w:pPr>
      <w:r w:rsidRPr="00C35158">
        <w:rPr>
          <w:rFonts w:ascii="Maiandra GD" w:hAnsi="Maiandra GD"/>
          <w:i/>
          <w:color w:val="2E4C64"/>
          <w:sz w:val="22"/>
        </w:rPr>
        <w:t>Qualifications must do more than certify learning</w:t>
      </w:r>
      <w:r w:rsidR="0091538E">
        <w:rPr>
          <w:rFonts w:ascii="Maiandra GD" w:hAnsi="Maiandra GD"/>
          <w:i/>
          <w:color w:val="2E4C64"/>
          <w:sz w:val="22"/>
        </w:rPr>
        <w:t xml:space="preserve"> – </w:t>
      </w:r>
      <w:r w:rsidRPr="00C35158">
        <w:rPr>
          <w:rFonts w:ascii="Maiandra GD" w:hAnsi="Maiandra GD"/>
          <w:i/>
          <w:color w:val="2E4C64"/>
          <w:sz w:val="22"/>
        </w:rPr>
        <w:t>they</w:t>
      </w:r>
      <w:r w:rsidR="0091538E">
        <w:rPr>
          <w:rFonts w:ascii="Maiandra GD" w:hAnsi="Maiandra GD"/>
          <w:i/>
          <w:color w:val="2E4C64"/>
          <w:sz w:val="22"/>
        </w:rPr>
        <w:t xml:space="preserve"> </w:t>
      </w:r>
      <w:r w:rsidRPr="00C35158">
        <w:rPr>
          <w:rFonts w:ascii="Maiandra GD" w:hAnsi="Maiandra GD"/>
          <w:i/>
          <w:color w:val="2E4C64"/>
          <w:sz w:val="22"/>
        </w:rPr>
        <w:t>must unlock opportunity. A strong qualifications system is one that connects skills to jobs, learning to livelihoods, and education to economic transformation.</w:t>
      </w:r>
    </w:p>
    <w:p w14:paraId="2B5D3B58" w14:textId="77777777" w:rsidR="00DC4679" w:rsidRPr="00C35158" w:rsidRDefault="00DC4679" w:rsidP="00DC4679">
      <w:pPr>
        <w:spacing w:before="40" w:after="40" w:line="360" w:lineRule="auto"/>
        <w:ind w:left="288" w:right="288"/>
        <w:jc w:val="both"/>
        <w:rPr>
          <w:rFonts w:ascii="Maiandra GD" w:hAnsi="Maiandra GD"/>
          <w:sz w:val="22"/>
        </w:rPr>
      </w:pPr>
      <w:r w:rsidRPr="00C35158">
        <w:rPr>
          <w:rFonts w:ascii="Maiandra GD" w:hAnsi="Maiandra GD"/>
          <w:i/>
          <w:color w:val="2E4C64"/>
          <w:sz w:val="22"/>
        </w:rPr>
        <w:t>If Kenya and Africa are to harness the full potential of their human capital, qualifications frameworks must evolve into dynamic, inclusive, and labour market-responsive systems that support employability, mobility, and lifelong learning for all.</w:t>
      </w:r>
    </w:p>
    <w:p w14:paraId="02E9865F" w14:textId="3B79E7C6" w:rsidR="00DC4679" w:rsidRDefault="00DC4679"/>
    <w:sectPr w:rsidR="00DC4679" w:rsidSect="00DC4679">
      <w:footerReference w:type="default" r:id="rId7"/>
      <w:pgSz w:w="11909" w:h="16834" w:code="9"/>
      <w:pgMar w:top="1008" w:right="1008" w:bottom="1008" w:left="1008"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1ED5A" w14:textId="77777777" w:rsidR="000F6F56" w:rsidRDefault="000F6F56">
      <w:pPr>
        <w:spacing w:after="0" w:line="240" w:lineRule="auto"/>
      </w:pPr>
      <w:r>
        <w:separator/>
      </w:r>
    </w:p>
  </w:endnote>
  <w:endnote w:type="continuationSeparator" w:id="0">
    <w:p w14:paraId="5812048D" w14:textId="77777777" w:rsidR="000F6F56" w:rsidRDefault="000F6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732585"/>
      <w:docPartObj>
        <w:docPartGallery w:val="Page Numbers (Bottom of Page)"/>
        <w:docPartUnique/>
      </w:docPartObj>
    </w:sdtPr>
    <w:sdtEndPr>
      <w:rPr>
        <w:sz w:val="20"/>
        <w:szCs w:val="20"/>
      </w:rPr>
    </w:sdtEndPr>
    <w:sdtContent>
      <w:p w14:paraId="5D60C68D" w14:textId="122E4422" w:rsidR="00DC4679" w:rsidRPr="00F76C57" w:rsidRDefault="00DC4679" w:rsidP="00F76C57">
        <w:pPr>
          <w:pStyle w:val="Subtitle"/>
          <w:jc w:val="center"/>
          <w:rPr>
            <w:rFonts w:ascii="Maiandra GD" w:hAnsi="Maiandra GD" w:cs="Tahoma"/>
            <w:sz w:val="20"/>
            <w:szCs w:val="20"/>
          </w:rPr>
        </w:pPr>
        <w:r w:rsidRPr="000721E5">
          <w:rPr>
            <w:rFonts w:ascii="Maiandra GD" w:hAnsi="Maiandra GD" w:cs="Tahoma"/>
            <w:sz w:val="20"/>
            <w:szCs w:val="20"/>
          </w:rPr>
          <w:t>Panel I</w:t>
        </w:r>
        <w:r w:rsidR="00072457">
          <w:rPr>
            <w:rFonts w:ascii="Maiandra GD" w:hAnsi="Maiandra GD" w:cs="Tahoma"/>
            <w:sz w:val="20"/>
            <w:szCs w:val="20"/>
          </w:rPr>
          <w:t>V</w:t>
        </w:r>
        <w:r w:rsidRPr="000721E5">
          <w:rPr>
            <w:rFonts w:ascii="Maiandra GD" w:hAnsi="Maiandra GD" w:cs="Tahoma"/>
            <w:sz w:val="20"/>
            <w:szCs w:val="20"/>
          </w:rPr>
          <w:t xml:space="preserve"> for the 1st National Qualifications Conference 2026</w:t>
        </w:r>
        <w:r w:rsidRPr="000721E5">
          <w:rPr>
            <w:rFonts w:ascii="Maiandra GD" w:hAnsi="Maiandra GD" w:cs="Tahoma"/>
            <w:sz w:val="20"/>
            <w:szCs w:val="20"/>
          </w:rPr>
          <w:tab/>
        </w:r>
        <w:r>
          <w:rPr>
            <w:rFonts w:ascii="Maiandra GD" w:hAnsi="Maiandra GD" w:cs="Tahoma"/>
            <w:sz w:val="20"/>
            <w:szCs w:val="20"/>
          </w:rPr>
          <w:tab/>
        </w:r>
        <w:r>
          <w:rPr>
            <w:rFonts w:ascii="Maiandra GD" w:hAnsi="Maiandra GD" w:cs="Tahoma"/>
            <w:sz w:val="20"/>
            <w:szCs w:val="20"/>
          </w:rPr>
          <w:tab/>
        </w:r>
        <w:r w:rsidRPr="000721E5">
          <w:rPr>
            <w:rFonts w:ascii="Maiandra GD" w:hAnsi="Maiandra GD" w:cs="Tahoma"/>
            <w:sz w:val="20"/>
            <w:szCs w:val="20"/>
          </w:rPr>
          <w:tab/>
        </w:r>
        <w:r w:rsidRPr="000721E5">
          <w:rPr>
            <w:sz w:val="20"/>
            <w:szCs w:val="20"/>
          </w:rPr>
          <w:t xml:space="preserve">Page | </w:t>
        </w:r>
        <w:r w:rsidRPr="000721E5">
          <w:rPr>
            <w:sz w:val="20"/>
            <w:szCs w:val="20"/>
          </w:rPr>
          <w:fldChar w:fldCharType="begin"/>
        </w:r>
        <w:r w:rsidRPr="000721E5">
          <w:rPr>
            <w:sz w:val="20"/>
            <w:szCs w:val="20"/>
          </w:rPr>
          <w:instrText xml:space="preserve"> PAGE   \* MERGEFORMAT </w:instrText>
        </w:r>
        <w:r w:rsidRPr="000721E5">
          <w:rPr>
            <w:sz w:val="20"/>
            <w:szCs w:val="20"/>
          </w:rPr>
          <w:fldChar w:fldCharType="separate"/>
        </w:r>
        <w:r w:rsidRPr="000721E5">
          <w:rPr>
            <w:noProof/>
            <w:sz w:val="20"/>
            <w:szCs w:val="20"/>
          </w:rPr>
          <w:t>2</w:t>
        </w:r>
        <w:r w:rsidRPr="000721E5">
          <w:rPr>
            <w:noProof/>
            <w:sz w:val="20"/>
            <w:szCs w:val="20"/>
          </w:rPr>
          <w:fldChar w:fldCharType="end"/>
        </w:r>
        <w:r w:rsidRPr="000721E5">
          <w:rPr>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5DC09" w14:textId="77777777" w:rsidR="000F6F56" w:rsidRDefault="000F6F56">
      <w:pPr>
        <w:spacing w:after="0" w:line="240" w:lineRule="auto"/>
      </w:pPr>
      <w:r>
        <w:separator/>
      </w:r>
    </w:p>
  </w:footnote>
  <w:footnote w:type="continuationSeparator" w:id="0">
    <w:p w14:paraId="1A366D6E" w14:textId="77777777" w:rsidR="000F6F56" w:rsidRDefault="000F6F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ACADDE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B6B0EF2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6DC62A0"/>
    <w:multiLevelType w:val="hybridMultilevel"/>
    <w:tmpl w:val="BBA4329C"/>
    <w:lvl w:ilvl="0" w:tplc="E18E7F14">
      <w:start w:val="1"/>
      <w:numFmt w:val="lowerRoman"/>
      <w:suff w:val="space"/>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C5234"/>
    <w:multiLevelType w:val="hybridMultilevel"/>
    <w:tmpl w:val="8BEE9000"/>
    <w:lvl w:ilvl="0" w:tplc="75549F5E">
      <w:start w:val="1"/>
      <w:numFmt w:val="lowerRoman"/>
      <w:suff w:val="space"/>
      <w:lvlText w:val="%1)"/>
      <w:lvlJc w:val="left"/>
      <w:pPr>
        <w:ind w:left="432" w:hanging="72"/>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C203D3"/>
    <w:multiLevelType w:val="hybridMultilevel"/>
    <w:tmpl w:val="B7AA93B8"/>
    <w:lvl w:ilvl="0" w:tplc="78D4E2D4">
      <w:start w:val="1"/>
      <w:numFmt w:val="lowerRoman"/>
      <w:lvlText w:val="%1."/>
      <w:lvlJc w:val="righ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3646CB"/>
    <w:multiLevelType w:val="hybridMultilevel"/>
    <w:tmpl w:val="17A20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F14B7D"/>
    <w:multiLevelType w:val="multilevel"/>
    <w:tmpl w:val="69B014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31B6CDC"/>
    <w:multiLevelType w:val="multilevel"/>
    <w:tmpl w:val="53462822"/>
    <w:lvl w:ilvl="0">
      <w:start w:val="1"/>
      <w:numFmt w:val="lowerRoman"/>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4C0958"/>
    <w:multiLevelType w:val="hybridMultilevel"/>
    <w:tmpl w:val="6602EF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A0195F"/>
    <w:multiLevelType w:val="hybridMultilevel"/>
    <w:tmpl w:val="18E425F0"/>
    <w:lvl w:ilvl="0" w:tplc="E78EE9C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BB43303"/>
    <w:multiLevelType w:val="hybridMultilevel"/>
    <w:tmpl w:val="666E2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3C7D4C"/>
    <w:multiLevelType w:val="hybridMultilevel"/>
    <w:tmpl w:val="CE1EEB88"/>
    <w:lvl w:ilvl="0" w:tplc="E1AAFCCC">
      <w:start w:val="1"/>
      <w:numFmt w:val="lowerRoman"/>
      <w:suff w:val="space"/>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65D25FD"/>
    <w:multiLevelType w:val="hybridMultilevel"/>
    <w:tmpl w:val="25DCE4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96381A"/>
    <w:multiLevelType w:val="hybridMultilevel"/>
    <w:tmpl w:val="464098E6"/>
    <w:lvl w:ilvl="0" w:tplc="3D64A404">
      <w:start w:val="1"/>
      <w:numFmt w:val="lowerRoman"/>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3125DE"/>
    <w:multiLevelType w:val="hybridMultilevel"/>
    <w:tmpl w:val="6102DE62"/>
    <w:lvl w:ilvl="0" w:tplc="E7E0F92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1C4658"/>
    <w:multiLevelType w:val="hybridMultilevel"/>
    <w:tmpl w:val="D9646F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41B4578"/>
    <w:multiLevelType w:val="hybridMultilevel"/>
    <w:tmpl w:val="2BACD8C8"/>
    <w:lvl w:ilvl="0" w:tplc="0DA83534">
      <w:start w:val="1"/>
      <w:numFmt w:val="lowerRoman"/>
      <w:lvlText w:val="%1)"/>
      <w:lvlJc w:val="left"/>
      <w:pPr>
        <w:ind w:left="0" w:hanging="360"/>
      </w:pPr>
      <w:rPr>
        <w:rFonts w:hint="default"/>
        <w:color w:val="auto"/>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15:restartNumberingAfterBreak="0">
    <w:nsid w:val="5F190640"/>
    <w:multiLevelType w:val="hybridMultilevel"/>
    <w:tmpl w:val="4F9A5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3A6FA9"/>
    <w:multiLevelType w:val="hybridMultilevel"/>
    <w:tmpl w:val="FE605440"/>
    <w:lvl w:ilvl="0" w:tplc="698465E0">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052456C"/>
    <w:multiLevelType w:val="hybridMultilevel"/>
    <w:tmpl w:val="FA4AAF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484603"/>
    <w:multiLevelType w:val="hybridMultilevel"/>
    <w:tmpl w:val="698A53D2"/>
    <w:lvl w:ilvl="0" w:tplc="2000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6E863EB"/>
    <w:multiLevelType w:val="hybridMultilevel"/>
    <w:tmpl w:val="AFA282AC"/>
    <w:lvl w:ilvl="0" w:tplc="96B2C5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346BC8"/>
    <w:multiLevelType w:val="hybridMultilevel"/>
    <w:tmpl w:val="DF72AE92"/>
    <w:lvl w:ilvl="0" w:tplc="698465E0">
      <w:start w:val="1"/>
      <w:numFmt w:val="lowerRoman"/>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09330257">
    <w:abstractNumId w:val="4"/>
  </w:num>
  <w:num w:numId="2" w16cid:durableId="2135978060">
    <w:abstractNumId w:val="19"/>
  </w:num>
  <w:num w:numId="3" w16cid:durableId="1228954275">
    <w:abstractNumId w:val="17"/>
  </w:num>
  <w:num w:numId="4" w16cid:durableId="894239198">
    <w:abstractNumId w:val="20"/>
  </w:num>
  <w:num w:numId="5" w16cid:durableId="12346004">
    <w:abstractNumId w:val="16"/>
  </w:num>
  <w:num w:numId="6" w16cid:durableId="2055617305">
    <w:abstractNumId w:val="9"/>
  </w:num>
  <w:num w:numId="7" w16cid:durableId="1598950558">
    <w:abstractNumId w:val="12"/>
  </w:num>
  <w:num w:numId="8" w16cid:durableId="1226599008">
    <w:abstractNumId w:val="11"/>
  </w:num>
  <w:num w:numId="9" w16cid:durableId="67923895">
    <w:abstractNumId w:val="15"/>
  </w:num>
  <w:num w:numId="10" w16cid:durableId="364253548">
    <w:abstractNumId w:val="7"/>
  </w:num>
  <w:num w:numId="11" w16cid:durableId="1625650713">
    <w:abstractNumId w:val="21"/>
  </w:num>
  <w:num w:numId="12" w16cid:durableId="2129660890">
    <w:abstractNumId w:val="3"/>
  </w:num>
  <w:num w:numId="13" w16cid:durableId="619839711">
    <w:abstractNumId w:val="1"/>
  </w:num>
  <w:num w:numId="14" w16cid:durableId="457919373">
    <w:abstractNumId w:val="0"/>
  </w:num>
  <w:num w:numId="15" w16cid:durableId="1702903615">
    <w:abstractNumId w:val="10"/>
  </w:num>
  <w:num w:numId="16" w16cid:durableId="1645239849">
    <w:abstractNumId w:val="13"/>
  </w:num>
  <w:num w:numId="17" w16cid:durableId="64645069">
    <w:abstractNumId w:val="18"/>
  </w:num>
  <w:num w:numId="18" w16cid:durableId="823620494">
    <w:abstractNumId w:val="2"/>
  </w:num>
  <w:num w:numId="19" w16cid:durableId="2107338375">
    <w:abstractNumId w:val="14"/>
  </w:num>
  <w:num w:numId="20" w16cid:durableId="644748987">
    <w:abstractNumId w:val="5"/>
  </w:num>
  <w:num w:numId="21" w16cid:durableId="90128320">
    <w:abstractNumId w:val="8"/>
  </w:num>
  <w:num w:numId="22" w16cid:durableId="1207795291">
    <w:abstractNumId w:val="22"/>
  </w:num>
  <w:num w:numId="23" w16cid:durableId="51810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679"/>
    <w:rsid w:val="0000412C"/>
    <w:rsid w:val="00014C3E"/>
    <w:rsid w:val="00021399"/>
    <w:rsid w:val="00021635"/>
    <w:rsid w:val="000252E6"/>
    <w:rsid w:val="00025AA0"/>
    <w:rsid w:val="000526B5"/>
    <w:rsid w:val="0006478B"/>
    <w:rsid w:val="00070360"/>
    <w:rsid w:val="00072457"/>
    <w:rsid w:val="00080ED4"/>
    <w:rsid w:val="00087D56"/>
    <w:rsid w:val="000A6BC9"/>
    <w:rsid w:val="000B0458"/>
    <w:rsid w:val="000B0495"/>
    <w:rsid w:val="000D03DE"/>
    <w:rsid w:val="000E5BD7"/>
    <w:rsid w:val="000E60D9"/>
    <w:rsid w:val="000F4725"/>
    <w:rsid w:val="000F6451"/>
    <w:rsid w:val="000F6F56"/>
    <w:rsid w:val="00106142"/>
    <w:rsid w:val="001118F7"/>
    <w:rsid w:val="00111D8C"/>
    <w:rsid w:val="00112A65"/>
    <w:rsid w:val="00112DF9"/>
    <w:rsid w:val="00115339"/>
    <w:rsid w:val="0012241C"/>
    <w:rsid w:val="00130011"/>
    <w:rsid w:val="00135476"/>
    <w:rsid w:val="00137F22"/>
    <w:rsid w:val="00140C27"/>
    <w:rsid w:val="00152020"/>
    <w:rsid w:val="001524D3"/>
    <w:rsid w:val="00152F87"/>
    <w:rsid w:val="00163E60"/>
    <w:rsid w:val="00163FEA"/>
    <w:rsid w:val="001647E0"/>
    <w:rsid w:val="00196A85"/>
    <w:rsid w:val="001A4644"/>
    <w:rsid w:val="001A4CD2"/>
    <w:rsid w:val="001A6BF2"/>
    <w:rsid w:val="001A6F2B"/>
    <w:rsid w:val="001D54B1"/>
    <w:rsid w:val="001D6848"/>
    <w:rsid w:val="001F28D2"/>
    <w:rsid w:val="001F595D"/>
    <w:rsid w:val="00212C3D"/>
    <w:rsid w:val="00221B02"/>
    <w:rsid w:val="00267BE6"/>
    <w:rsid w:val="00281604"/>
    <w:rsid w:val="00286AE4"/>
    <w:rsid w:val="00292F76"/>
    <w:rsid w:val="00296664"/>
    <w:rsid w:val="002969EA"/>
    <w:rsid w:val="002B16F3"/>
    <w:rsid w:val="002B1D9E"/>
    <w:rsid w:val="002B30F6"/>
    <w:rsid w:val="002B54DD"/>
    <w:rsid w:val="002B7C2D"/>
    <w:rsid w:val="002D65E2"/>
    <w:rsid w:val="002D7B9D"/>
    <w:rsid w:val="002E2D22"/>
    <w:rsid w:val="003005FE"/>
    <w:rsid w:val="003007B5"/>
    <w:rsid w:val="00305E39"/>
    <w:rsid w:val="00307236"/>
    <w:rsid w:val="003105EB"/>
    <w:rsid w:val="00312D13"/>
    <w:rsid w:val="00315F22"/>
    <w:rsid w:val="003201C2"/>
    <w:rsid w:val="003273F2"/>
    <w:rsid w:val="003343DB"/>
    <w:rsid w:val="00336ECB"/>
    <w:rsid w:val="00344E3B"/>
    <w:rsid w:val="00344F43"/>
    <w:rsid w:val="00352105"/>
    <w:rsid w:val="00356E15"/>
    <w:rsid w:val="0037204C"/>
    <w:rsid w:val="00383EE4"/>
    <w:rsid w:val="003A259F"/>
    <w:rsid w:val="003C2781"/>
    <w:rsid w:val="003D5577"/>
    <w:rsid w:val="003D7C0A"/>
    <w:rsid w:val="003E5A84"/>
    <w:rsid w:val="003E681E"/>
    <w:rsid w:val="003E6FBD"/>
    <w:rsid w:val="003F21C0"/>
    <w:rsid w:val="003F78C9"/>
    <w:rsid w:val="004113E7"/>
    <w:rsid w:val="004117B4"/>
    <w:rsid w:val="00431020"/>
    <w:rsid w:val="00434777"/>
    <w:rsid w:val="00434FCF"/>
    <w:rsid w:val="00435DFD"/>
    <w:rsid w:val="004600CE"/>
    <w:rsid w:val="004656C5"/>
    <w:rsid w:val="00465A22"/>
    <w:rsid w:val="004821F1"/>
    <w:rsid w:val="00483138"/>
    <w:rsid w:val="00492AF1"/>
    <w:rsid w:val="00496E1C"/>
    <w:rsid w:val="004A021B"/>
    <w:rsid w:val="004A0281"/>
    <w:rsid w:val="004A4F41"/>
    <w:rsid w:val="004C0C5C"/>
    <w:rsid w:val="004D76BF"/>
    <w:rsid w:val="004E1873"/>
    <w:rsid w:val="004F5F69"/>
    <w:rsid w:val="00506FDA"/>
    <w:rsid w:val="005124BE"/>
    <w:rsid w:val="00516836"/>
    <w:rsid w:val="00525441"/>
    <w:rsid w:val="00542F1E"/>
    <w:rsid w:val="0054642B"/>
    <w:rsid w:val="00546728"/>
    <w:rsid w:val="00557E3F"/>
    <w:rsid w:val="005611CA"/>
    <w:rsid w:val="00563FE9"/>
    <w:rsid w:val="005702D5"/>
    <w:rsid w:val="00575E8F"/>
    <w:rsid w:val="005974CA"/>
    <w:rsid w:val="005A0C45"/>
    <w:rsid w:val="005A1DC3"/>
    <w:rsid w:val="005A3C59"/>
    <w:rsid w:val="005B151B"/>
    <w:rsid w:val="005C4174"/>
    <w:rsid w:val="005D14DB"/>
    <w:rsid w:val="005D328C"/>
    <w:rsid w:val="005E4595"/>
    <w:rsid w:val="005E4666"/>
    <w:rsid w:val="00642D33"/>
    <w:rsid w:val="00644490"/>
    <w:rsid w:val="00647A53"/>
    <w:rsid w:val="0067799A"/>
    <w:rsid w:val="00693900"/>
    <w:rsid w:val="00694C35"/>
    <w:rsid w:val="006B7FDC"/>
    <w:rsid w:val="006C02D5"/>
    <w:rsid w:val="006C1D8A"/>
    <w:rsid w:val="006C79F5"/>
    <w:rsid w:val="006D12EC"/>
    <w:rsid w:val="006D4DA2"/>
    <w:rsid w:val="006E6D38"/>
    <w:rsid w:val="006F719D"/>
    <w:rsid w:val="00700F56"/>
    <w:rsid w:val="00706E13"/>
    <w:rsid w:val="00706F0B"/>
    <w:rsid w:val="00716625"/>
    <w:rsid w:val="00723C06"/>
    <w:rsid w:val="00727551"/>
    <w:rsid w:val="007425C8"/>
    <w:rsid w:val="00752957"/>
    <w:rsid w:val="00757C3E"/>
    <w:rsid w:val="00762444"/>
    <w:rsid w:val="00774FE9"/>
    <w:rsid w:val="00777EF7"/>
    <w:rsid w:val="00781E77"/>
    <w:rsid w:val="00797C09"/>
    <w:rsid w:val="007B25E4"/>
    <w:rsid w:val="007D19BB"/>
    <w:rsid w:val="007D450E"/>
    <w:rsid w:val="007F013B"/>
    <w:rsid w:val="007F605D"/>
    <w:rsid w:val="008127D4"/>
    <w:rsid w:val="00814914"/>
    <w:rsid w:val="008217C6"/>
    <w:rsid w:val="008273EC"/>
    <w:rsid w:val="00841EBA"/>
    <w:rsid w:val="00843140"/>
    <w:rsid w:val="008465B9"/>
    <w:rsid w:val="008533BA"/>
    <w:rsid w:val="00857122"/>
    <w:rsid w:val="00870C68"/>
    <w:rsid w:val="00872411"/>
    <w:rsid w:val="008851EC"/>
    <w:rsid w:val="00894091"/>
    <w:rsid w:val="008964DA"/>
    <w:rsid w:val="008B4A64"/>
    <w:rsid w:val="008B7DB9"/>
    <w:rsid w:val="008C17C8"/>
    <w:rsid w:val="008C24B0"/>
    <w:rsid w:val="008C650F"/>
    <w:rsid w:val="008D2A99"/>
    <w:rsid w:val="008E4243"/>
    <w:rsid w:val="008E557E"/>
    <w:rsid w:val="008E589D"/>
    <w:rsid w:val="008E68D4"/>
    <w:rsid w:val="008E6B11"/>
    <w:rsid w:val="008F1399"/>
    <w:rsid w:val="008F7198"/>
    <w:rsid w:val="0091531F"/>
    <w:rsid w:val="0091538E"/>
    <w:rsid w:val="00916E8D"/>
    <w:rsid w:val="00937B11"/>
    <w:rsid w:val="009619F9"/>
    <w:rsid w:val="00965C39"/>
    <w:rsid w:val="009719BC"/>
    <w:rsid w:val="0097250B"/>
    <w:rsid w:val="009861F8"/>
    <w:rsid w:val="00987CE3"/>
    <w:rsid w:val="009A6B86"/>
    <w:rsid w:val="009A7752"/>
    <w:rsid w:val="009C707F"/>
    <w:rsid w:val="009D0372"/>
    <w:rsid w:val="009D231D"/>
    <w:rsid w:val="009D6A08"/>
    <w:rsid w:val="009D6E94"/>
    <w:rsid w:val="009F6B6A"/>
    <w:rsid w:val="00A0194B"/>
    <w:rsid w:val="00A0508F"/>
    <w:rsid w:val="00A22390"/>
    <w:rsid w:val="00A22F87"/>
    <w:rsid w:val="00A342F7"/>
    <w:rsid w:val="00A36646"/>
    <w:rsid w:val="00A4372C"/>
    <w:rsid w:val="00A47191"/>
    <w:rsid w:val="00A54B69"/>
    <w:rsid w:val="00A71742"/>
    <w:rsid w:val="00A74BA9"/>
    <w:rsid w:val="00A87408"/>
    <w:rsid w:val="00A938A7"/>
    <w:rsid w:val="00AA73E3"/>
    <w:rsid w:val="00AA7AC1"/>
    <w:rsid w:val="00AB1EFC"/>
    <w:rsid w:val="00AB3D05"/>
    <w:rsid w:val="00AC068F"/>
    <w:rsid w:val="00AC0748"/>
    <w:rsid w:val="00AC55F5"/>
    <w:rsid w:val="00AD56AC"/>
    <w:rsid w:val="00AD6947"/>
    <w:rsid w:val="00AD78AF"/>
    <w:rsid w:val="00AE1270"/>
    <w:rsid w:val="00B0435E"/>
    <w:rsid w:val="00B155DC"/>
    <w:rsid w:val="00B20A88"/>
    <w:rsid w:val="00B33260"/>
    <w:rsid w:val="00B42A2B"/>
    <w:rsid w:val="00B433E8"/>
    <w:rsid w:val="00B45F81"/>
    <w:rsid w:val="00B52B37"/>
    <w:rsid w:val="00B65686"/>
    <w:rsid w:val="00B65D82"/>
    <w:rsid w:val="00B717CA"/>
    <w:rsid w:val="00B9029A"/>
    <w:rsid w:val="00BA43E6"/>
    <w:rsid w:val="00BA7F40"/>
    <w:rsid w:val="00BB1E28"/>
    <w:rsid w:val="00BB5E7E"/>
    <w:rsid w:val="00BC7617"/>
    <w:rsid w:val="00BF69B6"/>
    <w:rsid w:val="00C05A08"/>
    <w:rsid w:val="00C1510B"/>
    <w:rsid w:val="00C17103"/>
    <w:rsid w:val="00C24673"/>
    <w:rsid w:val="00C430FB"/>
    <w:rsid w:val="00C46723"/>
    <w:rsid w:val="00C51273"/>
    <w:rsid w:val="00C6091A"/>
    <w:rsid w:val="00C60E15"/>
    <w:rsid w:val="00C6246C"/>
    <w:rsid w:val="00C65066"/>
    <w:rsid w:val="00C7323D"/>
    <w:rsid w:val="00C86AF8"/>
    <w:rsid w:val="00CA4AE8"/>
    <w:rsid w:val="00CB1706"/>
    <w:rsid w:val="00CC130D"/>
    <w:rsid w:val="00CC3B6A"/>
    <w:rsid w:val="00CD513B"/>
    <w:rsid w:val="00CE3791"/>
    <w:rsid w:val="00CF1225"/>
    <w:rsid w:val="00D00554"/>
    <w:rsid w:val="00D05209"/>
    <w:rsid w:val="00D21B7C"/>
    <w:rsid w:val="00D24E28"/>
    <w:rsid w:val="00D311C8"/>
    <w:rsid w:val="00D436E6"/>
    <w:rsid w:val="00D438E4"/>
    <w:rsid w:val="00D5057E"/>
    <w:rsid w:val="00D55099"/>
    <w:rsid w:val="00D63B01"/>
    <w:rsid w:val="00D71CE4"/>
    <w:rsid w:val="00D71D3D"/>
    <w:rsid w:val="00D81802"/>
    <w:rsid w:val="00D95CA0"/>
    <w:rsid w:val="00DA2192"/>
    <w:rsid w:val="00DC3D51"/>
    <w:rsid w:val="00DC4679"/>
    <w:rsid w:val="00DC4CD3"/>
    <w:rsid w:val="00DC7F53"/>
    <w:rsid w:val="00DD4150"/>
    <w:rsid w:val="00DD4CA9"/>
    <w:rsid w:val="00DD6407"/>
    <w:rsid w:val="00DD6698"/>
    <w:rsid w:val="00DE5C1E"/>
    <w:rsid w:val="00DF10AE"/>
    <w:rsid w:val="00DF7061"/>
    <w:rsid w:val="00E2769F"/>
    <w:rsid w:val="00E27DCB"/>
    <w:rsid w:val="00E3632C"/>
    <w:rsid w:val="00E37E3F"/>
    <w:rsid w:val="00E47E4C"/>
    <w:rsid w:val="00E50F60"/>
    <w:rsid w:val="00E60BA3"/>
    <w:rsid w:val="00E92319"/>
    <w:rsid w:val="00EA72C3"/>
    <w:rsid w:val="00EE1C44"/>
    <w:rsid w:val="00EE68BD"/>
    <w:rsid w:val="00F14182"/>
    <w:rsid w:val="00F24D35"/>
    <w:rsid w:val="00F25F5E"/>
    <w:rsid w:val="00F34631"/>
    <w:rsid w:val="00F428B3"/>
    <w:rsid w:val="00F7335D"/>
    <w:rsid w:val="00FA09A9"/>
    <w:rsid w:val="00FA2D00"/>
    <w:rsid w:val="00FB19AC"/>
    <w:rsid w:val="00FC2BFA"/>
    <w:rsid w:val="00FE5383"/>
    <w:rsid w:val="00FF0113"/>
    <w:rsid w:val="00FF4203"/>
    <w:rsid w:val="00FF7FB7"/>
    <w:rsid w:val="06389726"/>
    <w:rsid w:val="06C253A5"/>
    <w:rsid w:val="1119A1CC"/>
    <w:rsid w:val="11463E26"/>
    <w:rsid w:val="18E6BC7A"/>
    <w:rsid w:val="1CDDDFA1"/>
    <w:rsid w:val="276FC8F5"/>
    <w:rsid w:val="2A01DE87"/>
    <w:rsid w:val="2B54F279"/>
    <w:rsid w:val="2CFD6C62"/>
    <w:rsid w:val="31A81812"/>
    <w:rsid w:val="3C1A88C6"/>
    <w:rsid w:val="3E1C15D2"/>
    <w:rsid w:val="42E5882A"/>
    <w:rsid w:val="4434E896"/>
    <w:rsid w:val="44C3029F"/>
    <w:rsid w:val="45A460CF"/>
    <w:rsid w:val="472E37F5"/>
    <w:rsid w:val="48200F2B"/>
    <w:rsid w:val="4C22236A"/>
    <w:rsid w:val="4C3BE11A"/>
    <w:rsid w:val="4D2180E4"/>
    <w:rsid w:val="4EE98E97"/>
    <w:rsid w:val="51913A0C"/>
    <w:rsid w:val="5281DF93"/>
    <w:rsid w:val="53A7DDFB"/>
    <w:rsid w:val="548EED7E"/>
    <w:rsid w:val="5B332BA3"/>
    <w:rsid w:val="5F2B28DF"/>
    <w:rsid w:val="67D63D4F"/>
    <w:rsid w:val="6C1B64CF"/>
    <w:rsid w:val="7C67C233"/>
    <w:rsid w:val="7EC5C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B1A28"/>
  <w15:chartTrackingRefBased/>
  <w15:docId w15:val="{6931E083-F635-49E9-A7FE-9449EFD40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679"/>
  </w:style>
  <w:style w:type="paragraph" w:styleId="Heading1">
    <w:name w:val="heading 1"/>
    <w:basedOn w:val="Normal"/>
    <w:next w:val="Normal"/>
    <w:link w:val="Heading1Char"/>
    <w:uiPriority w:val="9"/>
    <w:qFormat/>
    <w:rsid w:val="00DC46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C46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C46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C46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C46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C46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46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46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46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67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C46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C46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C46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C46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C46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46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46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4679"/>
    <w:rPr>
      <w:rFonts w:eastAsiaTheme="majorEastAsia" w:cstheme="majorBidi"/>
      <w:color w:val="272727" w:themeColor="text1" w:themeTint="D8"/>
    </w:rPr>
  </w:style>
  <w:style w:type="paragraph" w:styleId="Title">
    <w:name w:val="Title"/>
    <w:basedOn w:val="Normal"/>
    <w:next w:val="Normal"/>
    <w:link w:val="TitleChar"/>
    <w:uiPriority w:val="10"/>
    <w:qFormat/>
    <w:rsid w:val="00DC46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46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46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46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4679"/>
    <w:pPr>
      <w:spacing w:before="160"/>
      <w:jc w:val="center"/>
    </w:pPr>
    <w:rPr>
      <w:i/>
      <w:iCs/>
      <w:color w:val="404040" w:themeColor="text1" w:themeTint="BF"/>
    </w:rPr>
  </w:style>
  <w:style w:type="character" w:customStyle="1" w:styleId="QuoteChar">
    <w:name w:val="Quote Char"/>
    <w:basedOn w:val="DefaultParagraphFont"/>
    <w:link w:val="Quote"/>
    <w:uiPriority w:val="29"/>
    <w:rsid w:val="00DC4679"/>
    <w:rPr>
      <w:i/>
      <w:iCs/>
      <w:color w:val="404040" w:themeColor="text1" w:themeTint="BF"/>
    </w:rPr>
  </w:style>
  <w:style w:type="paragraph" w:styleId="ListParagraph">
    <w:name w:val="List Paragraph"/>
    <w:basedOn w:val="Normal"/>
    <w:uiPriority w:val="34"/>
    <w:qFormat/>
    <w:rsid w:val="00DC4679"/>
    <w:pPr>
      <w:ind w:left="720"/>
      <w:contextualSpacing/>
    </w:pPr>
  </w:style>
  <w:style w:type="character" w:styleId="IntenseEmphasis">
    <w:name w:val="Intense Emphasis"/>
    <w:basedOn w:val="DefaultParagraphFont"/>
    <w:uiPriority w:val="21"/>
    <w:qFormat/>
    <w:rsid w:val="00DC4679"/>
    <w:rPr>
      <w:i/>
      <w:iCs/>
      <w:color w:val="2F5496" w:themeColor="accent1" w:themeShade="BF"/>
    </w:rPr>
  </w:style>
  <w:style w:type="paragraph" w:styleId="IntenseQuote">
    <w:name w:val="Intense Quote"/>
    <w:basedOn w:val="Normal"/>
    <w:next w:val="Normal"/>
    <w:link w:val="IntenseQuoteChar"/>
    <w:uiPriority w:val="30"/>
    <w:qFormat/>
    <w:rsid w:val="00DC46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C4679"/>
    <w:rPr>
      <w:i/>
      <w:iCs/>
      <w:color w:val="2F5496" w:themeColor="accent1" w:themeShade="BF"/>
    </w:rPr>
  </w:style>
  <w:style w:type="character" w:styleId="IntenseReference">
    <w:name w:val="Intense Reference"/>
    <w:basedOn w:val="DefaultParagraphFont"/>
    <w:uiPriority w:val="32"/>
    <w:qFormat/>
    <w:rsid w:val="00DC4679"/>
    <w:rPr>
      <w:b/>
      <w:bCs/>
      <w:smallCaps/>
      <w:color w:val="2F5496" w:themeColor="accent1" w:themeShade="BF"/>
      <w:spacing w:val="5"/>
    </w:rPr>
  </w:style>
  <w:style w:type="table" w:styleId="TableGrid">
    <w:name w:val="Table Grid"/>
    <w:basedOn w:val="TableNormal"/>
    <w:uiPriority w:val="59"/>
    <w:rsid w:val="00DC4679"/>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C4679"/>
    <w:rPr>
      <w:b/>
      <w:bCs/>
    </w:rPr>
  </w:style>
  <w:style w:type="character" w:styleId="Emphasis">
    <w:name w:val="Emphasis"/>
    <w:basedOn w:val="DefaultParagraphFont"/>
    <w:uiPriority w:val="20"/>
    <w:qFormat/>
    <w:rsid w:val="00DC4679"/>
    <w:rPr>
      <w:i/>
      <w:iCs/>
    </w:rPr>
  </w:style>
  <w:style w:type="paragraph" w:styleId="NormalWeb">
    <w:name w:val="Normal (Web)"/>
    <w:basedOn w:val="Normal"/>
    <w:uiPriority w:val="99"/>
    <w:unhideWhenUsed/>
    <w:rsid w:val="00DC4679"/>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customStyle="1" w:styleId="whitespace-normal">
    <w:name w:val="whitespace-normal"/>
    <w:basedOn w:val="DefaultParagraphFont"/>
    <w:rsid w:val="00DC4679"/>
  </w:style>
  <w:style w:type="paragraph" w:styleId="ListBullet">
    <w:name w:val="List Bullet"/>
    <w:basedOn w:val="Normal"/>
    <w:uiPriority w:val="99"/>
    <w:unhideWhenUsed/>
    <w:rsid w:val="00DC4679"/>
    <w:pPr>
      <w:numPr>
        <w:numId w:val="13"/>
      </w:numPr>
      <w:tabs>
        <w:tab w:val="clear" w:pos="360"/>
      </w:tabs>
      <w:spacing w:after="80" w:line="276" w:lineRule="auto"/>
      <w:ind w:left="0" w:firstLine="0"/>
      <w:contextualSpacing/>
    </w:pPr>
    <w:rPr>
      <w:rFonts w:ascii="Aptos" w:eastAsiaTheme="minorEastAsia" w:hAnsi="Aptos"/>
      <w:kern w:val="0"/>
      <w:sz w:val="21"/>
      <w:szCs w:val="22"/>
      <w14:ligatures w14:val="none"/>
    </w:rPr>
  </w:style>
  <w:style w:type="paragraph" w:styleId="ListNumber">
    <w:name w:val="List Number"/>
    <w:basedOn w:val="Normal"/>
    <w:uiPriority w:val="99"/>
    <w:unhideWhenUsed/>
    <w:rsid w:val="00DC4679"/>
    <w:pPr>
      <w:numPr>
        <w:numId w:val="14"/>
      </w:numPr>
      <w:tabs>
        <w:tab w:val="clear" w:pos="360"/>
      </w:tabs>
      <w:spacing w:after="80" w:line="276" w:lineRule="auto"/>
      <w:ind w:left="0" w:firstLine="0"/>
      <w:contextualSpacing/>
    </w:pPr>
    <w:rPr>
      <w:rFonts w:ascii="Aptos" w:eastAsiaTheme="minorEastAsia" w:hAnsi="Aptos"/>
      <w:kern w:val="0"/>
      <w:sz w:val="21"/>
      <w:szCs w:val="22"/>
      <w14:ligatures w14:val="none"/>
    </w:rPr>
  </w:style>
  <w:style w:type="paragraph" w:styleId="NoSpacing">
    <w:name w:val="No Spacing"/>
    <w:uiPriority w:val="1"/>
    <w:qFormat/>
    <w:rsid w:val="00DC4679"/>
    <w:pPr>
      <w:spacing w:after="0" w:line="240" w:lineRule="auto"/>
    </w:pPr>
    <w:rPr>
      <w:rFonts w:eastAsiaTheme="minorEastAsia"/>
      <w:kern w:val="0"/>
      <w:sz w:val="22"/>
      <w:szCs w:val="22"/>
      <w14:ligatures w14:val="none"/>
    </w:rPr>
  </w:style>
  <w:style w:type="paragraph" w:styleId="Header">
    <w:name w:val="header"/>
    <w:basedOn w:val="Normal"/>
    <w:link w:val="HeaderChar"/>
    <w:uiPriority w:val="99"/>
    <w:unhideWhenUsed/>
    <w:rsid w:val="007B25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5E4"/>
  </w:style>
  <w:style w:type="paragraph" w:styleId="Footer">
    <w:name w:val="footer"/>
    <w:basedOn w:val="Normal"/>
    <w:link w:val="FooterChar"/>
    <w:uiPriority w:val="99"/>
    <w:unhideWhenUsed/>
    <w:rsid w:val="007B25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5E4"/>
  </w:style>
  <w:style w:type="paragraph" w:styleId="Revision">
    <w:name w:val="Revision"/>
    <w:hidden/>
    <w:uiPriority w:val="99"/>
    <w:semiHidden/>
    <w:rsid w:val="00A71742"/>
    <w:pPr>
      <w:spacing w:after="0" w:line="240" w:lineRule="auto"/>
    </w:pPr>
  </w:style>
  <w:style w:type="character" w:styleId="CommentReference">
    <w:name w:val="annotation reference"/>
    <w:basedOn w:val="DefaultParagraphFont"/>
    <w:uiPriority w:val="99"/>
    <w:semiHidden/>
    <w:unhideWhenUsed/>
    <w:rsid w:val="008217C6"/>
    <w:rPr>
      <w:sz w:val="16"/>
      <w:szCs w:val="16"/>
    </w:rPr>
  </w:style>
  <w:style w:type="paragraph" w:styleId="CommentText">
    <w:name w:val="annotation text"/>
    <w:basedOn w:val="Normal"/>
    <w:link w:val="CommentTextChar"/>
    <w:uiPriority w:val="99"/>
    <w:unhideWhenUsed/>
    <w:rsid w:val="008217C6"/>
    <w:pPr>
      <w:spacing w:line="240" w:lineRule="auto"/>
    </w:pPr>
    <w:rPr>
      <w:sz w:val="20"/>
      <w:szCs w:val="20"/>
    </w:rPr>
  </w:style>
  <w:style w:type="character" w:customStyle="1" w:styleId="CommentTextChar">
    <w:name w:val="Comment Text Char"/>
    <w:basedOn w:val="DefaultParagraphFont"/>
    <w:link w:val="CommentText"/>
    <w:uiPriority w:val="99"/>
    <w:rsid w:val="008217C6"/>
    <w:rPr>
      <w:sz w:val="20"/>
      <w:szCs w:val="20"/>
    </w:rPr>
  </w:style>
  <w:style w:type="paragraph" w:styleId="CommentSubject">
    <w:name w:val="annotation subject"/>
    <w:basedOn w:val="CommentText"/>
    <w:next w:val="CommentText"/>
    <w:link w:val="CommentSubjectChar"/>
    <w:uiPriority w:val="99"/>
    <w:semiHidden/>
    <w:unhideWhenUsed/>
    <w:rsid w:val="008217C6"/>
    <w:rPr>
      <w:b/>
      <w:bCs/>
    </w:rPr>
  </w:style>
  <w:style w:type="character" w:customStyle="1" w:styleId="CommentSubjectChar">
    <w:name w:val="Comment Subject Char"/>
    <w:basedOn w:val="CommentTextChar"/>
    <w:link w:val="CommentSubject"/>
    <w:uiPriority w:val="99"/>
    <w:semiHidden/>
    <w:rsid w:val="008217C6"/>
    <w:rPr>
      <w:b/>
      <w:bCs/>
      <w:sz w:val="20"/>
      <w:szCs w:val="20"/>
    </w:rPr>
  </w:style>
  <w:style w:type="character" w:styleId="Hyperlink">
    <w:name w:val="Hyperlink"/>
    <w:basedOn w:val="DefaultParagraphFont"/>
    <w:uiPriority w:val="99"/>
    <w:unhideWhenUsed/>
    <w:rsid w:val="00296664"/>
    <w:rPr>
      <w:color w:val="0563C1" w:themeColor="hyperlink"/>
      <w:u w:val="single"/>
    </w:rPr>
  </w:style>
  <w:style w:type="character" w:styleId="UnresolvedMention">
    <w:name w:val="Unresolved Mention"/>
    <w:basedOn w:val="DefaultParagraphFont"/>
    <w:uiPriority w:val="99"/>
    <w:semiHidden/>
    <w:unhideWhenUsed/>
    <w:rsid w:val="002966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1531</Words>
  <Characters>10261</Characters>
  <Application>Microsoft Office Word</Application>
  <DocSecurity>0</DocSecurity>
  <Lines>142</Lines>
  <Paragraphs>29</Paragraphs>
  <ScaleCrop>false</ScaleCrop>
  <Company/>
  <LinksUpToDate>false</LinksUpToDate>
  <CharactersWithSpaces>11763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Kipruto  Tallam</dc:creator>
  <cp:keywords/>
  <dc:description/>
  <cp:lastModifiedBy>Kipruto  Tallam</cp:lastModifiedBy>
  <cp:revision>34</cp:revision>
  <dcterms:created xsi:type="dcterms:W3CDTF">2026-05-06T17:35:00Z</dcterms:created>
  <dcterms:modified xsi:type="dcterms:W3CDTF">2026-05-08T05:42:00Z</dcterms:modified>
</cp:coreProperties>
</file>