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6F36C" w14:textId="77777777" w:rsidR="00DC4679" w:rsidRPr="00DC4679" w:rsidRDefault="00DC4679" w:rsidP="00FB4968">
      <w:pPr>
        <w:pStyle w:val="Title"/>
        <w:pBdr>
          <w:bottom w:val="single" w:sz="8" w:space="4" w:color="4472C4" w:themeColor="accent1"/>
        </w:pBdr>
        <w:spacing w:after="120" w:line="360" w:lineRule="auto"/>
        <w:jc w:val="center"/>
        <w:rPr>
          <w:rFonts w:ascii="Maiandra GD" w:hAnsi="Maiandra GD" w:cs="Tahoma"/>
          <w:b/>
          <w:color w:val="1E4A79"/>
          <w:spacing w:val="5"/>
          <w:sz w:val="28"/>
          <w:szCs w:val="28"/>
          <w14:ligatures w14:val="none"/>
        </w:rPr>
      </w:pPr>
      <w:r w:rsidRPr="00DC4679">
        <w:rPr>
          <w:rFonts w:ascii="Maiandra GD" w:hAnsi="Maiandra GD" w:cs="Tahoma"/>
          <w:b/>
          <w:color w:val="1E4A79"/>
          <w:spacing w:val="5"/>
          <w:sz w:val="28"/>
          <w:szCs w:val="28"/>
          <w14:ligatures w14:val="none"/>
        </w:rPr>
        <w:t>SESSION CONCEPT NOTE III</w:t>
      </w:r>
    </w:p>
    <w:p w14:paraId="25F565CE" w14:textId="77777777" w:rsidR="00DC4679" w:rsidRPr="00785B98" w:rsidRDefault="00DC4679" w:rsidP="00FB4968">
      <w:pPr>
        <w:pStyle w:val="Subtitle"/>
        <w:spacing w:line="360" w:lineRule="auto"/>
        <w:jc w:val="center"/>
        <w:rPr>
          <w:rFonts w:ascii="Maiandra GD" w:hAnsi="Maiandra GD"/>
          <w:sz w:val="24"/>
          <w:szCs w:val="24"/>
        </w:rPr>
      </w:pPr>
      <w:r w:rsidRPr="00785B98">
        <w:rPr>
          <w:rFonts w:ascii="Maiandra GD" w:hAnsi="Maiandra GD"/>
          <w:sz w:val="24"/>
          <w:szCs w:val="24"/>
        </w:rPr>
        <w:t>Panel III for the 1st National Qualifications Conference 2026</w:t>
      </w:r>
    </w:p>
    <w:tbl>
      <w:tblPr>
        <w:tblStyle w:val="TableGrid"/>
        <w:tblW w:w="0" w:type="auto"/>
        <w:jc w:val="center"/>
        <w:tblLook w:val="04A0" w:firstRow="1" w:lastRow="0" w:firstColumn="1" w:lastColumn="0" w:noHBand="0" w:noVBand="1"/>
      </w:tblPr>
      <w:tblGrid>
        <w:gridCol w:w="2207"/>
        <w:gridCol w:w="7676"/>
      </w:tblGrid>
      <w:tr w:rsidR="00DC4679" w:rsidRPr="00785B98" w14:paraId="48E8E8AA" w14:textId="77777777" w:rsidTr="000F369C">
        <w:trPr>
          <w:trHeight w:val="711"/>
          <w:jc w:val="center"/>
        </w:trPr>
        <w:tc>
          <w:tcPr>
            <w:tcW w:w="2250" w:type="dxa"/>
            <w:shd w:val="clear" w:color="auto" w:fill="D9E7F5"/>
            <w:tcMar>
              <w:top w:w="80" w:type="dxa"/>
              <w:left w:w="120" w:type="dxa"/>
              <w:bottom w:w="80" w:type="dxa"/>
              <w:right w:w="120" w:type="dxa"/>
            </w:tcMar>
            <w:vAlign w:val="center"/>
          </w:tcPr>
          <w:p w14:paraId="524F5525" w14:textId="77777777" w:rsidR="00DC4679" w:rsidRPr="003E7A58" w:rsidRDefault="00DC4679" w:rsidP="00FB4968">
            <w:pPr>
              <w:spacing w:line="360" w:lineRule="auto"/>
              <w:jc w:val="both"/>
              <w:rPr>
                <w:rFonts w:ascii="Maiandra GD" w:hAnsi="Maiandra GD" w:cs="Times New Roman"/>
              </w:rPr>
            </w:pPr>
            <w:r w:rsidRPr="003E7A58">
              <w:rPr>
                <w:rFonts w:ascii="Maiandra GD" w:hAnsi="Maiandra GD" w:cs="Times New Roman"/>
                <w:b/>
              </w:rPr>
              <w:t>Session title</w:t>
            </w:r>
          </w:p>
        </w:tc>
        <w:tc>
          <w:tcPr>
            <w:tcW w:w="7920" w:type="dxa"/>
            <w:tcMar>
              <w:top w:w="80" w:type="dxa"/>
              <w:left w:w="120" w:type="dxa"/>
              <w:bottom w:w="80" w:type="dxa"/>
              <w:right w:w="120" w:type="dxa"/>
            </w:tcMar>
          </w:tcPr>
          <w:p w14:paraId="488246F4" w14:textId="57CF2D24" w:rsidR="00DC4679" w:rsidRPr="003E7A58" w:rsidRDefault="00D558C4" w:rsidP="00FB4968">
            <w:pPr>
              <w:spacing w:line="360" w:lineRule="auto"/>
              <w:jc w:val="both"/>
              <w:rPr>
                <w:rFonts w:ascii="Maiandra GD" w:hAnsi="Maiandra GD" w:cs="Times New Roman"/>
              </w:rPr>
            </w:pPr>
            <w:r w:rsidRPr="003E7A58">
              <w:rPr>
                <w:rFonts w:ascii="Maiandra GD" w:hAnsi="Maiandra GD" w:cs="Times New Roman"/>
                <w:b/>
                <w:bCs/>
              </w:rPr>
              <w:t>Keynote</w:t>
            </w:r>
            <w:r w:rsidR="00DC4679" w:rsidRPr="003E7A58">
              <w:rPr>
                <w:rFonts w:ascii="Maiandra GD" w:hAnsi="Maiandra GD" w:cs="Times New Roman"/>
                <w:b/>
                <w:bCs/>
              </w:rPr>
              <w:t xml:space="preserve"> Address 3:</w:t>
            </w:r>
            <w:r w:rsidR="00DC4679" w:rsidRPr="003E7A58">
              <w:rPr>
                <w:rFonts w:ascii="Maiandra GD" w:hAnsi="Maiandra GD" w:cs="Times New Roman"/>
              </w:rPr>
              <w:t xml:space="preserve"> </w:t>
            </w:r>
            <w:r w:rsidR="00DC4679" w:rsidRPr="003E7A58">
              <w:rPr>
                <w:rFonts w:ascii="Maiandra GD" w:hAnsi="Maiandra GD"/>
              </w:rPr>
              <w:t>Harmonising Standards, Empowering Futures: Qualification Frameworks as Catalysts for Global Collaboration</w:t>
            </w:r>
          </w:p>
        </w:tc>
      </w:tr>
      <w:tr w:rsidR="00DC4679" w:rsidRPr="00785B98" w14:paraId="259E39CD" w14:textId="77777777" w:rsidTr="002173DE">
        <w:trPr>
          <w:trHeight w:val="252"/>
          <w:jc w:val="center"/>
        </w:trPr>
        <w:tc>
          <w:tcPr>
            <w:tcW w:w="2250" w:type="dxa"/>
            <w:shd w:val="clear" w:color="auto" w:fill="D9E7F5"/>
            <w:tcMar>
              <w:top w:w="80" w:type="dxa"/>
              <w:left w:w="120" w:type="dxa"/>
              <w:bottom w:w="80" w:type="dxa"/>
              <w:right w:w="120" w:type="dxa"/>
            </w:tcMar>
            <w:vAlign w:val="center"/>
          </w:tcPr>
          <w:p w14:paraId="2A329C6C" w14:textId="77777777" w:rsidR="00DC4679" w:rsidRPr="003E7A58" w:rsidRDefault="00DC4679" w:rsidP="00FB4968">
            <w:pPr>
              <w:spacing w:line="360" w:lineRule="auto"/>
              <w:jc w:val="both"/>
              <w:rPr>
                <w:rFonts w:ascii="Maiandra GD" w:hAnsi="Maiandra GD" w:cs="Times New Roman"/>
              </w:rPr>
            </w:pPr>
            <w:r w:rsidRPr="003E7A58">
              <w:rPr>
                <w:rFonts w:ascii="Maiandra GD" w:hAnsi="Maiandra GD" w:cs="Times New Roman"/>
                <w:b/>
              </w:rPr>
              <w:t>Proposed duration</w:t>
            </w:r>
          </w:p>
        </w:tc>
        <w:tc>
          <w:tcPr>
            <w:tcW w:w="7920" w:type="dxa"/>
            <w:tcMar>
              <w:top w:w="80" w:type="dxa"/>
              <w:left w:w="120" w:type="dxa"/>
              <w:bottom w:w="80" w:type="dxa"/>
              <w:right w:w="120" w:type="dxa"/>
            </w:tcMar>
          </w:tcPr>
          <w:p w14:paraId="72A7ACD4" w14:textId="28A617E5" w:rsidR="00DC4679" w:rsidRPr="003E7A58" w:rsidRDefault="00DD5D4A" w:rsidP="00FB4968">
            <w:pPr>
              <w:spacing w:line="360" w:lineRule="auto"/>
              <w:jc w:val="both"/>
              <w:rPr>
                <w:rFonts w:ascii="Maiandra GD" w:hAnsi="Maiandra GD" w:cs="Times New Roman"/>
                <w:bCs/>
              </w:rPr>
            </w:pPr>
            <w:r>
              <w:rPr>
                <w:rFonts w:ascii="Maiandra GD" w:hAnsi="Maiandra GD" w:cs="Times New Roman"/>
                <w:b/>
              </w:rPr>
              <w:t xml:space="preserve">60 </w:t>
            </w:r>
            <w:r w:rsidRPr="00DD5D4A">
              <w:rPr>
                <w:rFonts w:ascii="Maiandra GD" w:hAnsi="Maiandra GD" w:cs="Times New Roman"/>
                <w:bCs/>
              </w:rPr>
              <w:t>Minutes</w:t>
            </w:r>
            <w:r>
              <w:rPr>
                <w:rFonts w:ascii="Maiandra GD" w:hAnsi="Maiandra GD" w:cs="Times New Roman"/>
                <w:b/>
              </w:rPr>
              <w:t xml:space="preserve"> [</w:t>
            </w:r>
            <w:r w:rsidR="003068BE" w:rsidRPr="00FB4968">
              <w:rPr>
                <w:rFonts w:ascii="Maiandra GD" w:hAnsi="Maiandra GD" w:cs="Times New Roman"/>
                <w:b/>
              </w:rPr>
              <w:t>1</w:t>
            </w:r>
            <w:r w:rsidR="003068BE" w:rsidRPr="003E7A58">
              <w:rPr>
                <w:rFonts w:ascii="Maiandra GD" w:hAnsi="Maiandra GD" w:cs="Times New Roman"/>
                <w:bCs/>
              </w:rPr>
              <w:t xml:space="preserve"> Hour</w:t>
            </w:r>
            <w:r>
              <w:rPr>
                <w:rFonts w:ascii="Maiandra GD" w:hAnsi="Maiandra GD" w:cs="Times New Roman"/>
                <w:bCs/>
              </w:rPr>
              <w:t>]</w:t>
            </w:r>
          </w:p>
        </w:tc>
      </w:tr>
      <w:tr w:rsidR="00DC4679" w:rsidRPr="00785B98" w14:paraId="4FDD3D9F" w14:textId="77777777" w:rsidTr="00FB4968">
        <w:trPr>
          <w:trHeight w:val="486"/>
          <w:jc w:val="center"/>
        </w:trPr>
        <w:tc>
          <w:tcPr>
            <w:tcW w:w="2250" w:type="dxa"/>
            <w:shd w:val="clear" w:color="auto" w:fill="D9E7F5"/>
            <w:tcMar>
              <w:top w:w="80" w:type="dxa"/>
              <w:left w:w="120" w:type="dxa"/>
              <w:bottom w:w="80" w:type="dxa"/>
              <w:right w:w="120" w:type="dxa"/>
            </w:tcMar>
            <w:vAlign w:val="center"/>
          </w:tcPr>
          <w:p w14:paraId="421C3FD2" w14:textId="77777777" w:rsidR="00DC4679" w:rsidRPr="003E7A58" w:rsidRDefault="00DC4679" w:rsidP="00FB4968">
            <w:pPr>
              <w:spacing w:line="360" w:lineRule="auto"/>
              <w:jc w:val="both"/>
              <w:rPr>
                <w:rFonts w:ascii="Maiandra GD" w:hAnsi="Maiandra GD" w:cs="Times New Roman"/>
              </w:rPr>
            </w:pPr>
            <w:r w:rsidRPr="003E7A58">
              <w:rPr>
                <w:rFonts w:ascii="Maiandra GD" w:hAnsi="Maiandra GD" w:cs="Times New Roman"/>
                <w:b/>
              </w:rPr>
              <w:t>Format</w:t>
            </w:r>
          </w:p>
        </w:tc>
        <w:tc>
          <w:tcPr>
            <w:tcW w:w="7920" w:type="dxa"/>
            <w:tcMar>
              <w:top w:w="80" w:type="dxa"/>
              <w:left w:w="120" w:type="dxa"/>
              <w:bottom w:w="80" w:type="dxa"/>
              <w:right w:w="120" w:type="dxa"/>
            </w:tcMar>
          </w:tcPr>
          <w:p w14:paraId="50C926AB" w14:textId="77777777" w:rsidR="00DC4679" w:rsidRPr="003E7A58" w:rsidRDefault="00DC4679" w:rsidP="00FB4968">
            <w:pPr>
              <w:spacing w:line="360" w:lineRule="auto"/>
              <w:jc w:val="both"/>
              <w:rPr>
                <w:rFonts w:ascii="Maiandra GD" w:hAnsi="Maiandra GD" w:cs="Times New Roman"/>
                <w:bCs/>
              </w:rPr>
            </w:pPr>
            <w:r w:rsidRPr="003E7A58">
              <w:rPr>
                <w:rFonts w:ascii="Maiandra GD" w:hAnsi="Maiandra GD"/>
              </w:rPr>
              <w:t>Moderated high-level policy panel with structured audience engagement</w:t>
            </w:r>
          </w:p>
        </w:tc>
      </w:tr>
    </w:tbl>
    <w:p w14:paraId="7591CBE2" w14:textId="77777777" w:rsidR="00DC4679" w:rsidRPr="00785B98" w:rsidRDefault="00DC4679" w:rsidP="00FB4968">
      <w:pPr>
        <w:spacing w:line="360" w:lineRule="auto"/>
        <w:jc w:val="both"/>
        <w:rPr>
          <w:rFonts w:ascii="Maiandra GD" w:hAnsi="Maiandra GD" w:cs="Times New Roman"/>
          <w:b/>
          <w:bCs/>
          <w:sz w:val="22"/>
          <w:szCs w:val="22"/>
          <w:u w:val="single"/>
        </w:rPr>
      </w:pPr>
    </w:p>
    <w:p w14:paraId="7547961C" w14:textId="77777777" w:rsidR="00DC4679" w:rsidRPr="00785B98" w:rsidRDefault="00DC4679" w:rsidP="00FB4968">
      <w:pPr>
        <w:pStyle w:val="Heading1"/>
        <w:numPr>
          <w:ilvl w:val="0"/>
          <w:numId w:val="9"/>
        </w:numPr>
        <w:spacing w:before="200" w:line="360" w:lineRule="auto"/>
        <w:ind w:left="720"/>
        <w:jc w:val="both"/>
        <w:rPr>
          <w:rFonts w:ascii="Maiandra GD" w:hAnsi="Maiandra GD" w:cs="Times New Roman"/>
          <w:b/>
          <w:bCs/>
          <w:sz w:val="22"/>
          <w:szCs w:val="22"/>
        </w:rPr>
      </w:pPr>
      <w:r w:rsidRPr="00785B98">
        <w:rPr>
          <w:rFonts w:ascii="Maiandra GD" w:hAnsi="Maiandra GD" w:cs="Tahoma"/>
          <w:b/>
          <w:bCs/>
          <w:color w:val="1E4A79"/>
          <w:kern w:val="0"/>
          <w:sz w:val="22"/>
          <w:szCs w:val="22"/>
          <w14:ligatures w14:val="none"/>
        </w:rPr>
        <w:t>Background</w:t>
      </w:r>
      <w:r w:rsidRPr="00785B98">
        <w:rPr>
          <w:rFonts w:ascii="Maiandra GD" w:hAnsi="Maiandra GD" w:cs="Times New Roman"/>
          <w:b/>
          <w:bCs/>
          <w:sz w:val="22"/>
          <w:szCs w:val="22"/>
        </w:rPr>
        <w:t xml:space="preserve"> and Rationale</w:t>
      </w:r>
    </w:p>
    <w:p w14:paraId="5656977F" w14:textId="77777777" w:rsidR="00DC4679" w:rsidRPr="00785B98" w:rsidRDefault="00DC4679" w:rsidP="00FB4968">
      <w:pPr>
        <w:spacing w:line="360" w:lineRule="auto"/>
        <w:jc w:val="both"/>
        <w:rPr>
          <w:rFonts w:ascii="Maiandra GD" w:hAnsi="Maiandra GD" w:cs="Times New Roman"/>
          <w:sz w:val="22"/>
          <w:szCs w:val="22"/>
        </w:rPr>
      </w:pPr>
      <w:r w:rsidRPr="00785B98">
        <w:rPr>
          <w:rFonts w:ascii="Maiandra GD" w:hAnsi="Maiandra GD" w:cs="Times New Roman"/>
          <w:sz w:val="22"/>
          <w:szCs w:val="22"/>
        </w:rPr>
        <w:t>National Qualifications Frameworks (NQFs) are increasingly recognised not only as tools for organising and classifying qualifications, but as strategic instruments for enabling comparability, recognition, and trust across education, training, and labour market systems globally. As economies become more interconnected, the ability of qualifications systems to communicate clearly, transparently, and credibly across borders has become essential for labour mobility, academic progression, and international cooperation.</w:t>
      </w:r>
    </w:p>
    <w:p w14:paraId="52FECF8F" w14:textId="77777777" w:rsidR="00DC4679" w:rsidRPr="00785B98" w:rsidRDefault="00DC4679" w:rsidP="00FB4968">
      <w:pPr>
        <w:spacing w:line="360" w:lineRule="auto"/>
        <w:jc w:val="both"/>
        <w:rPr>
          <w:rFonts w:ascii="Maiandra GD" w:hAnsi="Maiandra GD" w:cs="Times New Roman"/>
          <w:sz w:val="22"/>
          <w:szCs w:val="22"/>
        </w:rPr>
      </w:pPr>
      <w:r w:rsidRPr="00785B98">
        <w:rPr>
          <w:rFonts w:ascii="Maiandra GD" w:hAnsi="Maiandra GD" w:cs="Times New Roman"/>
          <w:sz w:val="22"/>
          <w:szCs w:val="22"/>
        </w:rPr>
        <w:t>Across Africa and globally, there is growing momentum toward harmonisation of qualifications frameworks to support mutual recognition, portability of skills, and stronger collaboration among countries. However, this ambition continues to be constrained by differences in standards, level descriptors, quality assurance mechanisms, regulatory frameworks, and data systems, which limit the extent to which qualifications can be trusted, compared, and recognised across jurisdictions.</w:t>
      </w:r>
    </w:p>
    <w:p w14:paraId="146D746C" w14:textId="77777777" w:rsidR="00DC4679" w:rsidRPr="00785B98" w:rsidRDefault="00DC4679" w:rsidP="00FB4968">
      <w:pPr>
        <w:spacing w:line="360" w:lineRule="auto"/>
        <w:jc w:val="both"/>
        <w:rPr>
          <w:rFonts w:ascii="Maiandra GD" w:hAnsi="Maiandra GD" w:cs="Times New Roman"/>
          <w:sz w:val="22"/>
          <w:szCs w:val="22"/>
        </w:rPr>
      </w:pPr>
      <w:r w:rsidRPr="00785B98">
        <w:rPr>
          <w:rFonts w:ascii="Maiandra GD" w:hAnsi="Maiandra GD" w:cs="Times New Roman"/>
          <w:sz w:val="22"/>
          <w:szCs w:val="22"/>
        </w:rPr>
        <w:t>In this context, harmonisation should not be understood as uniformity, but rather as the development of shared reference points, aligned standards, and interoperable systems that allow qualifications to be understood and valued across different national contexts. This includes alignment through regional and continental frameworks such as the African Continental Qualifications Framework (ACQF), East African Qualifications Framework (EAQF), and global conventions on recognition of qualifications, as well as the strengthening of national systems to meet agreed benchmarks.</w:t>
      </w:r>
    </w:p>
    <w:p w14:paraId="4618140C" w14:textId="77777777" w:rsidR="00DC4679" w:rsidRPr="00785B98" w:rsidRDefault="00DC4679" w:rsidP="00FB4968">
      <w:pPr>
        <w:spacing w:line="360" w:lineRule="auto"/>
        <w:jc w:val="both"/>
        <w:rPr>
          <w:rFonts w:ascii="Maiandra GD" w:hAnsi="Maiandra GD" w:cs="Times New Roman"/>
          <w:sz w:val="22"/>
          <w:szCs w:val="22"/>
        </w:rPr>
      </w:pPr>
      <w:r w:rsidRPr="00785B98">
        <w:rPr>
          <w:rFonts w:ascii="Maiandra GD" w:hAnsi="Maiandra GD" w:cs="Times New Roman"/>
          <w:sz w:val="22"/>
          <w:szCs w:val="22"/>
        </w:rPr>
        <w:t>For Kenya, this discussion is both timely and strategic. The KNQF has reached a level of maturity where its global positioning, comparability, and recognition are critical to unlocking opportunities for learners and workers. At the same time, Kenya’s participation in regional and continental integration processes requires a qualifications system that is transparent, quality-assured, and aligned with international standards.</w:t>
      </w:r>
    </w:p>
    <w:p w14:paraId="15D5EC2E" w14:textId="77777777" w:rsidR="00FB4968" w:rsidRDefault="00FB4968">
      <w:pPr>
        <w:rPr>
          <w:rFonts w:ascii="Maiandra GD" w:hAnsi="Maiandra GD" w:cs="Times New Roman"/>
          <w:sz w:val="22"/>
          <w:szCs w:val="22"/>
        </w:rPr>
      </w:pPr>
      <w:r>
        <w:rPr>
          <w:rFonts w:ascii="Maiandra GD" w:hAnsi="Maiandra GD" w:cs="Times New Roman"/>
          <w:sz w:val="22"/>
          <w:szCs w:val="22"/>
        </w:rPr>
        <w:br w:type="page"/>
      </w:r>
    </w:p>
    <w:p w14:paraId="24C5EEC5" w14:textId="05C29B8C" w:rsidR="00DC4679" w:rsidRPr="00785B98" w:rsidRDefault="00DC4679" w:rsidP="00FB4968">
      <w:pPr>
        <w:spacing w:line="360" w:lineRule="auto"/>
        <w:jc w:val="both"/>
        <w:rPr>
          <w:rFonts w:ascii="Maiandra GD" w:hAnsi="Maiandra GD" w:cs="Times New Roman"/>
          <w:b/>
          <w:bCs/>
          <w:sz w:val="22"/>
          <w:szCs w:val="22"/>
        </w:rPr>
      </w:pPr>
      <w:r w:rsidRPr="00785B98">
        <w:rPr>
          <w:rFonts w:ascii="Maiandra GD" w:hAnsi="Maiandra GD" w:cs="Times New Roman"/>
          <w:sz w:val="22"/>
          <w:szCs w:val="22"/>
        </w:rPr>
        <w:lastRenderedPageBreak/>
        <w:t>This session therefore moves beyond general discussions of cooperation to focus on the practical and institutional requirements for harmonisation, including alignment of level descriptors, strengthening quality assurance systems, development of qualifications registers, digital verification mechanisms, and policy coordination across countries. It positions qualifications frameworks as core infrastructure for mobility, trust, and global collaboration, linking national reforms to regional and international systems.</w:t>
      </w:r>
    </w:p>
    <w:p w14:paraId="5865D04F" w14:textId="77777777" w:rsidR="00DC4679" w:rsidRPr="00785B98" w:rsidRDefault="00DC4679" w:rsidP="00FB4968">
      <w:pPr>
        <w:pStyle w:val="Heading1"/>
        <w:numPr>
          <w:ilvl w:val="0"/>
          <w:numId w:val="9"/>
        </w:numPr>
        <w:spacing w:before="200" w:line="360" w:lineRule="auto"/>
        <w:ind w:left="720"/>
        <w:jc w:val="both"/>
        <w:rPr>
          <w:rFonts w:ascii="Maiandra GD" w:hAnsi="Maiandra GD" w:cs="Times New Roman"/>
          <w:b/>
          <w:bCs/>
          <w:sz w:val="22"/>
          <w:szCs w:val="22"/>
        </w:rPr>
      </w:pPr>
      <w:r w:rsidRPr="00785B98">
        <w:rPr>
          <w:rFonts w:ascii="Maiandra GD" w:hAnsi="Maiandra GD" w:cs="Tahoma"/>
          <w:b/>
          <w:bCs/>
          <w:color w:val="1E4A79"/>
          <w:kern w:val="0"/>
          <w:sz w:val="22"/>
          <w:szCs w:val="22"/>
          <w14:ligatures w14:val="none"/>
        </w:rPr>
        <w:t>Session</w:t>
      </w:r>
      <w:r w:rsidRPr="00785B98">
        <w:rPr>
          <w:rFonts w:ascii="Maiandra GD" w:hAnsi="Maiandra GD" w:cs="Times New Roman"/>
          <w:b/>
          <w:bCs/>
          <w:sz w:val="22"/>
          <w:szCs w:val="22"/>
        </w:rPr>
        <w:t xml:space="preserve"> Objective</w:t>
      </w:r>
    </w:p>
    <w:p w14:paraId="54F5513F" w14:textId="77777777" w:rsidR="00DC4679" w:rsidRPr="00785B98" w:rsidRDefault="00DC4679" w:rsidP="00FB4968">
      <w:pPr>
        <w:spacing w:line="360" w:lineRule="auto"/>
        <w:jc w:val="both"/>
        <w:rPr>
          <w:rFonts w:ascii="Maiandra GD" w:hAnsi="Maiandra GD" w:cs="Times New Roman"/>
          <w:sz w:val="22"/>
          <w:szCs w:val="22"/>
        </w:rPr>
      </w:pPr>
      <w:r w:rsidRPr="00785B98">
        <w:rPr>
          <w:rFonts w:ascii="Maiandra GD" w:hAnsi="Maiandra GD" w:cs="Times New Roman"/>
          <w:sz w:val="22"/>
          <w:szCs w:val="22"/>
        </w:rPr>
        <w:t>To examine how qualifications frameworks can be operationalised as instruments for harmonisation, comparability, and mutual recognition, while strengthening global collaboration, mobility, and trust across education, training, and labour market systems.</w:t>
      </w:r>
    </w:p>
    <w:p w14:paraId="623AC2F7" w14:textId="77777777" w:rsidR="00DC4679" w:rsidRPr="00785B98" w:rsidRDefault="00DC4679" w:rsidP="00FB4968">
      <w:pPr>
        <w:pStyle w:val="Heading1"/>
        <w:numPr>
          <w:ilvl w:val="0"/>
          <w:numId w:val="9"/>
        </w:numPr>
        <w:spacing w:before="200" w:line="360" w:lineRule="auto"/>
        <w:ind w:left="720"/>
        <w:jc w:val="both"/>
        <w:rPr>
          <w:rFonts w:ascii="Maiandra GD" w:hAnsi="Maiandra GD" w:cs="Times New Roman"/>
          <w:b/>
          <w:bCs/>
          <w:sz w:val="22"/>
          <w:szCs w:val="22"/>
        </w:rPr>
      </w:pPr>
      <w:r w:rsidRPr="00785B98">
        <w:rPr>
          <w:rFonts w:ascii="Maiandra GD" w:hAnsi="Maiandra GD" w:cs="Tahoma"/>
          <w:b/>
          <w:bCs/>
          <w:color w:val="1E4A79"/>
          <w:kern w:val="0"/>
          <w:sz w:val="22"/>
          <w:szCs w:val="22"/>
          <w14:ligatures w14:val="none"/>
        </w:rPr>
        <w:t>Session</w:t>
      </w:r>
      <w:r w:rsidRPr="00785B98">
        <w:rPr>
          <w:rFonts w:ascii="Maiandra GD" w:hAnsi="Maiandra GD" w:cs="Times New Roman"/>
          <w:b/>
          <w:bCs/>
          <w:sz w:val="22"/>
          <w:szCs w:val="22"/>
        </w:rPr>
        <w:t xml:space="preserve"> Description</w:t>
      </w:r>
    </w:p>
    <w:p w14:paraId="035658D9" w14:textId="77777777" w:rsidR="00DC4679" w:rsidRPr="00785B98" w:rsidRDefault="00DC4679" w:rsidP="00FB4968">
      <w:pPr>
        <w:spacing w:line="360" w:lineRule="auto"/>
        <w:jc w:val="both"/>
        <w:rPr>
          <w:rFonts w:ascii="Maiandra GD" w:hAnsi="Maiandra GD" w:cs="Times New Roman"/>
          <w:sz w:val="22"/>
          <w:szCs w:val="22"/>
        </w:rPr>
      </w:pPr>
      <w:r w:rsidRPr="00785B98">
        <w:rPr>
          <w:rFonts w:ascii="Maiandra GD" w:hAnsi="Maiandra GD" w:cs="Times New Roman"/>
          <w:sz w:val="22"/>
          <w:szCs w:val="22"/>
        </w:rPr>
        <w:t>This panel will position qualifications frameworks as bridging mechanisms between national systems and global opportunities, enabling countries to align standards while preserving contextual relevance. It will explore how harmonisation can be practically achieved through comparable level descriptors, aligned quality assurance systems, and interoperable qualifications registers and databases.</w:t>
      </w:r>
    </w:p>
    <w:p w14:paraId="229B2B84" w14:textId="77777777" w:rsidR="00DC4679" w:rsidRPr="00785B98" w:rsidRDefault="00DC4679" w:rsidP="00FB4968">
      <w:pPr>
        <w:spacing w:line="360" w:lineRule="auto"/>
        <w:jc w:val="both"/>
        <w:rPr>
          <w:rFonts w:ascii="Maiandra GD" w:hAnsi="Maiandra GD" w:cs="Times New Roman"/>
          <w:sz w:val="22"/>
          <w:szCs w:val="22"/>
        </w:rPr>
      </w:pPr>
      <w:r w:rsidRPr="00785B98">
        <w:rPr>
          <w:rFonts w:ascii="Maiandra GD" w:hAnsi="Maiandra GD" w:cs="Times New Roman"/>
          <w:sz w:val="22"/>
          <w:szCs w:val="22"/>
        </w:rPr>
        <w:t>The discussion will focus on how regional and continental bodies—including the African Union, East African Community (EAC), and UNESCO frameworks—are supporting countries in building shared reference frameworks, mutual recognition arrangements, and coordinated policy approaches. It will also examine how these frameworks depend on the strength, transparency, and credibility of national qualifications systems.</w:t>
      </w:r>
    </w:p>
    <w:p w14:paraId="35E120A6" w14:textId="77777777" w:rsidR="00DC4679" w:rsidRPr="00785B98" w:rsidRDefault="00DC4679" w:rsidP="00FB4968">
      <w:pPr>
        <w:spacing w:line="360" w:lineRule="auto"/>
        <w:jc w:val="both"/>
        <w:rPr>
          <w:rFonts w:ascii="Maiandra GD" w:hAnsi="Maiandra GD" w:cs="Times New Roman"/>
          <w:sz w:val="22"/>
          <w:szCs w:val="22"/>
        </w:rPr>
      </w:pPr>
      <w:r w:rsidRPr="00785B98">
        <w:rPr>
          <w:rFonts w:ascii="Maiandra GD" w:hAnsi="Maiandra GD" w:cs="Times New Roman"/>
          <w:sz w:val="22"/>
          <w:szCs w:val="22"/>
        </w:rPr>
        <w:t>A key area of focus will be the role of quality assurance as the foundation of trust, including how internal and external QA systems, standards-setting, accreditation, and validation processes contribute to confidence in qualifications across borders. The panel will also reflect on the importance of digitalisation, including qualifications registers, digital credentials, and data systems, in enabling verification, transparency, and portability of qualifications globally.</w:t>
      </w:r>
    </w:p>
    <w:p w14:paraId="18AE54E7" w14:textId="77777777" w:rsidR="00DC4679" w:rsidRPr="00785B98" w:rsidRDefault="00DC4679" w:rsidP="00FB4968">
      <w:pPr>
        <w:spacing w:line="360" w:lineRule="auto"/>
        <w:jc w:val="both"/>
        <w:rPr>
          <w:rFonts w:ascii="Maiandra GD" w:hAnsi="Maiandra GD" w:cs="Times New Roman"/>
          <w:sz w:val="22"/>
          <w:szCs w:val="22"/>
        </w:rPr>
      </w:pPr>
      <w:r w:rsidRPr="00785B98">
        <w:rPr>
          <w:rFonts w:ascii="Maiandra GD" w:hAnsi="Maiandra GD" w:cs="Times New Roman"/>
          <w:sz w:val="22"/>
          <w:szCs w:val="22"/>
        </w:rPr>
        <w:t>Drawing from perspectives of regional organisations, continental institutions, and national authorities, the session will provide practical insights into how harmonisation efforts can be implemented, the challenges encountered, and the strategies required to overcome them. It will connect national qualifications reforms to broader regional integration and global recognition agendas, positioning NQFs as essential tools for mobility, employability, and international cooperation.</w:t>
      </w:r>
    </w:p>
    <w:p w14:paraId="1F9334C6" w14:textId="77777777" w:rsidR="00910A8D" w:rsidRDefault="00910A8D" w:rsidP="00FB4968">
      <w:pPr>
        <w:spacing w:line="360" w:lineRule="auto"/>
        <w:rPr>
          <w:rFonts w:ascii="Maiandra GD" w:eastAsiaTheme="majorEastAsia" w:hAnsi="Maiandra GD" w:cs="Times New Roman"/>
          <w:b/>
          <w:bCs/>
          <w:color w:val="2F5496" w:themeColor="accent1" w:themeShade="BF"/>
          <w:sz w:val="22"/>
          <w:szCs w:val="22"/>
        </w:rPr>
      </w:pPr>
      <w:r>
        <w:rPr>
          <w:rFonts w:ascii="Maiandra GD" w:hAnsi="Maiandra GD" w:cs="Times New Roman"/>
          <w:b/>
          <w:bCs/>
          <w:sz w:val="22"/>
          <w:szCs w:val="22"/>
        </w:rPr>
        <w:br w:type="page"/>
      </w:r>
    </w:p>
    <w:p w14:paraId="72FBD82A" w14:textId="01EA9643" w:rsidR="00DC4679" w:rsidRPr="00785B98" w:rsidRDefault="00DC4679" w:rsidP="00FB4968">
      <w:pPr>
        <w:pStyle w:val="Heading1"/>
        <w:numPr>
          <w:ilvl w:val="0"/>
          <w:numId w:val="9"/>
        </w:numPr>
        <w:spacing w:before="200" w:line="360" w:lineRule="auto"/>
        <w:ind w:left="720"/>
        <w:jc w:val="both"/>
        <w:rPr>
          <w:rFonts w:ascii="Maiandra GD" w:hAnsi="Maiandra GD" w:cs="Times New Roman"/>
          <w:b/>
          <w:bCs/>
          <w:sz w:val="22"/>
          <w:szCs w:val="22"/>
        </w:rPr>
      </w:pPr>
      <w:r w:rsidRPr="00785B98">
        <w:rPr>
          <w:rFonts w:ascii="Maiandra GD" w:hAnsi="Maiandra GD" w:cs="Times New Roman"/>
          <w:b/>
          <w:bCs/>
          <w:sz w:val="22"/>
          <w:szCs w:val="22"/>
        </w:rPr>
        <w:lastRenderedPageBreak/>
        <w:t>Expected Session Outcomes</w:t>
      </w:r>
    </w:p>
    <w:p w14:paraId="42A0B094" w14:textId="77777777" w:rsidR="00DC4679" w:rsidRPr="00785B98" w:rsidRDefault="00DC4679" w:rsidP="00FB4968">
      <w:pPr>
        <w:spacing w:line="360" w:lineRule="auto"/>
        <w:jc w:val="both"/>
        <w:rPr>
          <w:rFonts w:ascii="Maiandra GD" w:hAnsi="Maiandra GD"/>
          <w:sz w:val="22"/>
          <w:szCs w:val="22"/>
        </w:rPr>
      </w:pPr>
      <w:r w:rsidRPr="00785B98">
        <w:rPr>
          <w:rFonts w:ascii="Maiandra GD" w:hAnsi="Maiandra GD"/>
          <w:sz w:val="22"/>
          <w:szCs w:val="22"/>
        </w:rPr>
        <w:t>The session will strengthen the positioning of qualifications frameworks as instruments for global collaboration and mutual recognition, and is expected to generate:</w:t>
      </w:r>
    </w:p>
    <w:p w14:paraId="29A2F835" w14:textId="77777777" w:rsidR="00DC4679" w:rsidRPr="00785B98" w:rsidRDefault="00DC4679" w:rsidP="00FB4968">
      <w:pPr>
        <w:pStyle w:val="ListParagraph"/>
        <w:numPr>
          <w:ilvl w:val="0"/>
          <w:numId w:val="7"/>
        </w:numPr>
        <w:spacing w:line="360" w:lineRule="auto"/>
        <w:jc w:val="both"/>
        <w:rPr>
          <w:rFonts w:ascii="Maiandra GD" w:hAnsi="Maiandra GD"/>
          <w:sz w:val="22"/>
          <w:szCs w:val="22"/>
        </w:rPr>
      </w:pPr>
      <w:r w:rsidRPr="00785B98">
        <w:rPr>
          <w:rFonts w:ascii="Maiandra GD" w:hAnsi="Maiandra GD"/>
          <w:sz w:val="22"/>
          <w:szCs w:val="22"/>
        </w:rPr>
        <w:t xml:space="preserve">Greater clarity on what harmonisation means in practice, including how standards, level descriptors, and systems can be aligned without losing national relevance. </w:t>
      </w:r>
    </w:p>
    <w:p w14:paraId="6C18C5F2" w14:textId="77777777" w:rsidR="00DC4679" w:rsidRPr="00785B98" w:rsidRDefault="00DC4679" w:rsidP="00FB4968">
      <w:pPr>
        <w:pStyle w:val="ListParagraph"/>
        <w:numPr>
          <w:ilvl w:val="0"/>
          <w:numId w:val="7"/>
        </w:numPr>
        <w:spacing w:line="360" w:lineRule="auto"/>
        <w:jc w:val="both"/>
        <w:rPr>
          <w:rFonts w:ascii="Maiandra GD" w:hAnsi="Maiandra GD"/>
          <w:sz w:val="22"/>
          <w:szCs w:val="22"/>
        </w:rPr>
      </w:pPr>
      <w:r w:rsidRPr="00785B98">
        <w:rPr>
          <w:rFonts w:ascii="Maiandra GD" w:hAnsi="Maiandra GD"/>
          <w:sz w:val="22"/>
          <w:szCs w:val="22"/>
        </w:rPr>
        <w:t xml:space="preserve">Improved understanding of the role of regional and continental frameworks (ACQF, EAQF, UNESCO conventions) in supporting comparability, recognition, and mobility. </w:t>
      </w:r>
    </w:p>
    <w:p w14:paraId="0D6EB3B4" w14:textId="77777777" w:rsidR="00DC4679" w:rsidRPr="00785B98" w:rsidRDefault="00DC4679" w:rsidP="00FB4968">
      <w:pPr>
        <w:pStyle w:val="ListParagraph"/>
        <w:numPr>
          <w:ilvl w:val="0"/>
          <w:numId w:val="7"/>
        </w:numPr>
        <w:spacing w:line="360" w:lineRule="auto"/>
        <w:jc w:val="both"/>
        <w:rPr>
          <w:rFonts w:ascii="Maiandra GD" w:hAnsi="Maiandra GD"/>
          <w:sz w:val="22"/>
          <w:szCs w:val="22"/>
        </w:rPr>
      </w:pPr>
      <w:r w:rsidRPr="00785B98">
        <w:rPr>
          <w:rFonts w:ascii="Maiandra GD" w:hAnsi="Maiandra GD"/>
          <w:sz w:val="22"/>
          <w:szCs w:val="22"/>
        </w:rPr>
        <w:t xml:space="preserve">Practical insights into the institutional and technical requirements for building trust, including quality assurance, accreditation systems, and qualifications registers. </w:t>
      </w:r>
    </w:p>
    <w:p w14:paraId="6AF0AB52" w14:textId="77777777" w:rsidR="00DC4679" w:rsidRPr="00785B98" w:rsidRDefault="00DC4679" w:rsidP="00FB4968">
      <w:pPr>
        <w:pStyle w:val="ListParagraph"/>
        <w:numPr>
          <w:ilvl w:val="0"/>
          <w:numId w:val="7"/>
        </w:numPr>
        <w:spacing w:line="360" w:lineRule="auto"/>
        <w:jc w:val="both"/>
        <w:rPr>
          <w:rFonts w:ascii="Maiandra GD" w:hAnsi="Maiandra GD"/>
          <w:sz w:val="22"/>
          <w:szCs w:val="22"/>
        </w:rPr>
      </w:pPr>
      <w:r w:rsidRPr="00785B98">
        <w:rPr>
          <w:rFonts w:ascii="Maiandra GD" w:hAnsi="Maiandra GD"/>
          <w:sz w:val="22"/>
          <w:szCs w:val="22"/>
        </w:rPr>
        <w:t xml:space="preserve">Identification of key barriers to recognition and portability of qualifications, and strategies to address them. </w:t>
      </w:r>
    </w:p>
    <w:p w14:paraId="2DE96C11" w14:textId="77777777" w:rsidR="00DC4679" w:rsidRDefault="00DC4679" w:rsidP="00FB4968">
      <w:pPr>
        <w:pStyle w:val="ListParagraph"/>
        <w:numPr>
          <w:ilvl w:val="0"/>
          <w:numId w:val="7"/>
        </w:numPr>
        <w:spacing w:line="360" w:lineRule="auto"/>
        <w:jc w:val="both"/>
        <w:rPr>
          <w:rFonts w:ascii="Maiandra GD" w:hAnsi="Maiandra GD"/>
          <w:sz w:val="22"/>
          <w:szCs w:val="22"/>
        </w:rPr>
      </w:pPr>
      <w:r w:rsidRPr="00785B98">
        <w:rPr>
          <w:rFonts w:ascii="Maiandra GD" w:hAnsi="Maiandra GD"/>
          <w:sz w:val="22"/>
          <w:szCs w:val="22"/>
        </w:rPr>
        <w:t>Actionable recommendations for positioning the KNQF within regional and global systems to enhance mobility, employability, and international competitiveness.</w:t>
      </w:r>
    </w:p>
    <w:p w14:paraId="6EA0E2D0" w14:textId="77777777" w:rsidR="00910A8D" w:rsidRPr="00785B98" w:rsidRDefault="00910A8D" w:rsidP="00FB4968">
      <w:pPr>
        <w:pStyle w:val="ListParagraph"/>
        <w:spacing w:line="360" w:lineRule="auto"/>
        <w:jc w:val="both"/>
        <w:rPr>
          <w:rFonts w:ascii="Maiandra GD" w:hAnsi="Maiandra GD"/>
          <w:sz w:val="22"/>
          <w:szCs w:val="22"/>
        </w:rPr>
      </w:pPr>
    </w:p>
    <w:p w14:paraId="6EE384A4" w14:textId="065998D0" w:rsidR="00DC4679" w:rsidRPr="00785B98" w:rsidRDefault="00DC4679" w:rsidP="00FB4968">
      <w:pPr>
        <w:pStyle w:val="Heading1"/>
        <w:numPr>
          <w:ilvl w:val="0"/>
          <w:numId w:val="9"/>
        </w:numPr>
        <w:spacing w:before="200" w:line="360" w:lineRule="auto"/>
        <w:ind w:left="720"/>
        <w:jc w:val="both"/>
        <w:rPr>
          <w:rFonts w:ascii="Maiandra GD" w:hAnsi="Maiandra GD" w:cs="Times New Roman"/>
          <w:b/>
          <w:bCs/>
          <w:sz w:val="22"/>
          <w:szCs w:val="22"/>
        </w:rPr>
      </w:pPr>
      <w:r w:rsidRPr="00785B98">
        <w:rPr>
          <w:rFonts w:ascii="Maiandra GD" w:hAnsi="Maiandra GD" w:cs="Times New Roman"/>
          <w:b/>
          <w:bCs/>
          <w:sz w:val="22"/>
          <w:szCs w:val="22"/>
        </w:rPr>
        <w:t>Proposed Session Structure</w:t>
      </w:r>
    </w:p>
    <w:tbl>
      <w:tblPr>
        <w:tblStyle w:val="TableGrid"/>
        <w:tblW w:w="0" w:type="auto"/>
        <w:tblInd w:w="355" w:type="dxa"/>
        <w:tblLook w:val="04A0" w:firstRow="1" w:lastRow="0" w:firstColumn="1" w:lastColumn="0" w:noHBand="0" w:noVBand="1"/>
      </w:tblPr>
      <w:tblGrid>
        <w:gridCol w:w="4394"/>
        <w:gridCol w:w="5134"/>
      </w:tblGrid>
      <w:tr w:rsidR="00DC4679" w:rsidRPr="00785B98" w14:paraId="03A975F0" w14:textId="77777777" w:rsidTr="00910A8D">
        <w:trPr>
          <w:trHeight w:val="198"/>
        </w:trPr>
        <w:tc>
          <w:tcPr>
            <w:tcW w:w="4394" w:type="dxa"/>
            <w:tcMar>
              <w:top w:w="80" w:type="dxa"/>
              <w:left w:w="120" w:type="dxa"/>
              <w:bottom w:w="80" w:type="dxa"/>
              <w:right w:w="120" w:type="dxa"/>
            </w:tcMar>
            <w:vAlign w:val="center"/>
          </w:tcPr>
          <w:p w14:paraId="296477D3" w14:textId="77777777" w:rsidR="00DC4679" w:rsidRPr="00785B98" w:rsidRDefault="00DC4679" w:rsidP="00FB4968">
            <w:pPr>
              <w:spacing w:line="276" w:lineRule="auto"/>
              <w:jc w:val="both"/>
              <w:rPr>
                <w:rFonts w:ascii="Maiandra GD" w:hAnsi="Maiandra GD" w:cs="Times New Roman"/>
              </w:rPr>
            </w:pPr>
            <w:r w:rsidRPr="00785B98">
              <w:rPr>
                <w:rFonts w:ascii="Maiandra GD" w:hAnsi="Maiandra GD" w:cs="Times New Roman"/>
              </w:rPr>
              <w:t>Moderator framing</w:t>
            </w:r>
          </w:p>
        </w:tc>
        <w:tc>
          <w:tcPr>
            <w:tcW w:w="5134" w:type="dxa"/>
            <w:tcMar>
              <w:top w:w="80" w:type="dxa"/>
              <w:left w:w="120" w:type="dxa"/>
              <w:bottom w:w="80" w:type="dxa"/>
              <w:right w:w="120" w:type="dxa"/>
            </w:tcMar>
          </w:tcPr>
          <w:p w14:paraId="0E559107" w14:textId="77777777" w:rsidR="00DC4679" w:rsidRPr="00910A8D" w:rsidRDefault="00DC4679" w:rsidP="00FB4968">
            <w:pPr>
              <w:spacing w:line="276" w:lineRule="auto"/>
              <w:jc w:val="both"/>
              <w:rPr>
                <w:rFonts w:ascii="Maiandra GD" w:hAnsi="Maiandra GD" w:cs="Times New Roman"/>
                <w:b/>
                <w:bCs/>
              </w:rPr>
            </w:pPr>
            <w:r w:rsidRPr="00910A8D">
              <w:rPr>
                <w:rFonts w:ascii="Maiandra GD" w:hAnsi="Maiandra GD" w:cs="Times New Roman"/>
                <w:b/>
                <w:bCs/>
              </w:rPr>
              <w:t>5 minutes</w:t>
            </w:r>
          </w:p>
        </w:tc>
      </w:tr>
      <w:tr w:rsidR="00DC4679" w:rsidRPr="00785B98" w14:paraId="65408CD3" w14:textId="77777777" w:rsidTr="00910A8D">
        <w:tc>
          <w:tcPr>
            <w:tcW w:w="4394" w:type="dxa"/>
            <w:tcMar>
              <w:top w:w="80" w:type="dxa"/>
              <w:left w:w="120" w:type="dxa"/>
              <w:bottom w:w="80" w:type="dxa"/>
              <w:right w:w="120" w:type="dxa"/>
            </w:tcMar>
            <w:vAlign w:val="center"/>
          </w:tcPr>
          <w:p w14:paraId="171E3B1A" w14:textId="77777777" w:rsidR="00DC4679" w:rsidRPr="00785B98" w:rsidRDefault="00DC4679" w:rsidP="00FB4968">
            <w:pPr>
              <w:spacing w:line="276" w:lineRule="auto"/>
              <w:jc w:val="both"/>
              <w:rPr>
                <w:rFonts w:ascii="Maiandra GD" w:hAnsi="Maiandra GD" w:cs="Times New Roman"/>
              </w:rPr>
            </w:pPr>
            <w:r w:rsidRPr="00785B98">
              <w:rPr>
                <w:rFonts w:ascii="Maiandra GD" w:hAnsi="Maiandra GD" w:cs="Times New Roman"/>
              </w:rPr>
              <w:t>Keynote presentation</w:t>
            </w:r>
          </w:p>
        </w:tc>
        <w:tc>
          <w:tcPr>
            <w:tcW w:w="5134" w:type="dxa"/>
            <w:tcMar>
              <w:top w:w="80" w:type="dxa"/>
              <w:left w:w="120" w:type="dxa"/>
              <w:bottom w:w="80" w:type="dxa"/>
              <w:right w:w="120" w:type="dxa"/>
            </w:tcMar>
          </w:tcPr>
          <w:p w14:paraId="7DCE0FC9" w14:textId="1873F9BE" w:rsidR="00DC4679" w:rsidRPr="00910A8D" w:rsidRDefault="00427A7C" w:rsidP="00FB4968">
            <w:pPr>
              <w:spacing w:line="276" w:lineRule="auto"/>
              <w:jc w:val="both"/>
              <w:rPr>
                <w:rFonts w:ascii="Maiandra GD" w:hAnsi="Maiandra GD" w:cs="Times New Roman"/>
                <w:b/>
                <w:bCs/>
              </w:rPr>
            </w:pPr>
            <w:r>
              <w:rPr>
                <w:rFonts w:ascii="Maiandra GD" w:hAnsi="Maiandra GD" w:cs="Times New Roman"/>
                <w:b/>
                <w:bCs/>
              </w:rPr>
              <w:t>8</w:t>
            </w:r>
            <w:r w:rsidR="00DC4679" w:rsidRPr="00910A8D">
              <w:rPr>
                <w:rFonts w:ascii="Maiandra GD" w:hAnsi="Maiandra GD" w:cs="Times New Roman"/>
                <w:b/>
                <w:bCs/>
              </w:rPr>
              <w:t xml:space="preserve"> minutes</w:t>
            </w:r>
          </w:p>
        </w:tc>
      </w:tr>
      <w:tr w:rsidR="00DC4679" w:rsidRPr="00785B98" w14:paraId="74777A27" w14:textId="77777777" w:rsidTr="00910A8D">
        <w:tc>
          <w:tcPr>
            <w:tcW w:w="4394" w:type="dxa"/>
            <w:tcMar>
              <w:top w:w="80" w:type="dxa"/>
              <w:left w:w="120" w:type="dxa"/>
              <w:bottom w:w="80" w:type="dxa"/>
              <w:right w:w="120" w:type="dxa"/>
            </w:tcMar>
            <w:vAlign w:val="center"/>
          </w:tcPr>
          <w:p w14:paraId="78676FC3" w14:textId="77777777" w:rsidR="00DC4679" w:rsidRPr="00785B98" w:rsidRDefault="00DC4679" w:rsidP="00FB4968">
            <w:pPr>
              <w:spacing w:line="276" w:lineRule="auto"/>
              <w:jc w:val="both"/>
              <w:rPr>
                <w:rFonts w:ascii="Maiandra GD" w:hAnsi="Maiandra GD" w:cs="Times New Roman"/>
              </w:rPr>
            </w:pPr>
            <w:r w:rsidRPr="00785B98">
              <w:rPr>
                <w:rFonts w:ascii="Maiandra GD" w:hAnsi="Maiandra GD" w:cs="Times New Roman"/>
              </w:rPr>
              <w:t>Panelist interventions (4 panelists)</w:t>
            </w:r>
          </w:p>
        </w:tc>
        <w:tc>
          <w:tcPr>
            <w:tcW w:w="5134" w:type="dxa"/>
            <w:tcMar>
              <w:top w:w="80" w:type="dxa"/>
              <w:left w:w="120" w:type="dxa"/>
              <w:bottom w:w="80" w:type="dxa"/>
              <w:right w:w="120" w:type="dxa"/>
            </w:tcMar>
          </w:tcPr>
          <w:p w14:paraId="3337885F" w14:textId="7CE9C8A5" w:rsidR="00DC4679" w:rsidRPr="00910A8D" w:rsidRDefault="008F5173" w:rsidP="00FB4968">
            <w:pPr>
              <w:spacing w:line="276" w:lineRule="auto"/>
              <w:jc w:val="both"/>
              <w:rPr>
                <w:rFonts w:ascii="Maiandra GD" w:hAnsi="Maiandra GD" w:cs="Times New Roman"/>
                <w:b/>
                <w:bCs/>
              </w:rPr>
            </w:pPr>
            <w:r>
              <w:rPr>
                <w:rFonts w:ascii="Maiandra GD" w:hAnsi="Maiandra GD" w:cs="Times New Roman"/>
                <w:b/>
                <w:bCs/>
              </w:rPr>
              <w:t>20</w:t>
            </w:r>
            <w:r w:rsidR="00DC4679" w:rsidRPr="00910A8D">
              <w:rPr>
                <w:rFonts w:ascii="Maiandra GD" w:hAnsi="Maiandra GD" w:cs="Times New Roman"/>
                <w:b/>
                <w:bCs/>
              </w:rPr>
              <w:t xml:space="preserve"> minutes (</w:t>
            </w:r>
            <w:r>
              <w:rPr>
                <w:rFonts w:ascii="Maiandra GD" w:hAnsi="Maiandra GD" w:cs="Times New Roman"/>
                <w:b/>
                <w:bCs/>
              </w:rPr>
              <w:t>5</w:t>
            </w:r>
            <w:r w:rsidR="00DC4679" w:rsidRPr="00910A8D">
              <w:rPr>
                <w:rFonts w:ascii="Maiandra GD" w:hAnsi="Maiandra GD" w:cs="Times New Roman"/>
                <w:b/>
                <w:bCs/>
              </w:rPr>
              <w:t xml:space="preserve"> minutes each)</w:t>
            </w:r>
          </w:p>
        </w:tc>
      </w:tr>
      <w:tr w:rsidR="00DC4679" w:rsidRPr="00785B98" w14:paraId="1ABB37BF" w14:textId="77777777" w:rsidTr="00910A8D">
        <w:tc>
          <w:tcPr>
            <w:tcW w:w="4394" w:type="dxa"/>
            <w:tcMar>
              <w:top w:w="80" w:type="dxa"/>
              <w:left w:w="120" w:type="dxa"/>
              <w:bottom w:w="80" w:type="dxa"/>
              <w:right w:w="120" w:type="dxa"/>
            </w:tcMar>
            <w:vAlign w:val="center"/>
          </w:tcPr>
          <w:p w14:paraId="26961B9C" w14:textId="77777777" w:rsidR="00DC4679" w:rsidRPr="00785B98" w:rsidRDefault="00DC4679" w:rsidP="00FB4968">
            <w:pPr>
              <w:spacing w:line="276" w:lineRule="auto"/>
              <w:jc w:val="both"/>
              <w:rPr>
                <w:rFonts w:ascii="Maiandra GD" w:hAnsi="Maiandra GD" w:cs="Times New Roman"/>
              </w:rPr>
            </w:pPr>
            <w:r w:rsidRPr="00785B98">
              <w:rPr>
                <w:rFonts w:ascii="Maiandra GD" w:hAnsi="Maiandra GD" w:cs="Times New Roman"/>
              </w:rPr>
              <w:t>Moderated discussion &amp;Q &amp;A</w:t>
            </w:r>
          </w:p>
        </w:tc>
        <w:tc>
          <w:tcPr>
            <w:tcW w:w="5134" w:type="dxa"/>
            <w:tcMar>
              <w:top w:w="80" w:type="dxa"/>
              <w:left w:w="120" w:type="dxa"/>
              <w:bottom w:w="80" w:type="dxa"/>
              <w:right w:w="120" w:type="dxa"/>
            </w:tcMar>
          </w:tcPr>
          <w:p w14:paraId="67AE09CF" w14:textId="63FAABA4" w:rsidR="00DC4679" w:rsidRPr="00910A8D" w:rsidRDefault="00DD5D4A" w:rsidP="00FB4968">
            <w:pPr>
              <w:spacing w:line="276" w:lineRule="auto"/>
              <w:jc w:val="both"/>
              <w:rPr>
                <w:rFonts w:ascii="Maiandra GD" w:hAnsi="Maiandra GD" w:cs="Times New Roman"/>
                <w:b/>
                <w:bCs/>
              </w:rPr>
            </w:pPr>
            <w:r>
              <w:rPr>
                <w:rFonts w:ascii="Maiandra GD" w:hAnsi="Maiandra GD" w:cs="Times New Roman"/>
                <w:b/>
                <w:bCs/>
              </w:rPr>
              <w:t>22</w:t>
            </w:r>
            <w:r w:rsidR="00DC4679" w:rsidRPr="00910A8D">
              <w:rPr>
                <w:rFonts w:ascii="Maiandra GD" w:hAnsi="Maiandra GD" w:cs="Times New Roman"/>
                <w:b/>
                <w:bCs/>
              </w:rPr>
              <w:t xml:space="preserve"> minutes</w:t>
            </w:r>
          </w:p>
        </w:tc>
      </w:tr>
      <w:tr w:rsidR="00DC4679" w:rsidRPr="00785B98" w14:paraId="1FA12520" w14:textId="77777777" w:rsidTr="00FB4968">
        <w:trPr>
          <w:trHeight w:val="198"/>
        </w:trPr>
        <w:tc>
          <w:tcPr>
            <w:tcW w:w="4394" w:type="dxa"/>
            <w:tcMar>
              <w:top w:w="80" w:type="dxa"/>
              <w:left w:w="120" w:type="dxa"/>
              <w:bottom w:w="80" w:type="dxa"/>
              <w:right w:w="120" w:type="dxa"/>
            </w:tcMar>
            <w:vAlign w:val="center"/>
          </w:tcPr>
          <w:p w14:paraId="1B56634B" w14:textId="77777777" w:rsidR="00DC4679" w:rsidRPr="00785B98" w:rsidRDefault="00DC4679" w:rsidP="00FB4968">
            <w:pPr>
              <w:spacing w:line="276" w:lineRule="auto"/>
              <w:jc w:val="both"/>
              <w:rPr>
                <w:rFonts w:ascii="Maiandra GD" w:hAnsi="Maiandra GD" w:cs="Times New Roman"/>
              </w:rPr>
            </w:pPr>
            <w:r w:rsidRPr="00785B98">
              <w:rPr>
                <w:rFonts w:ascii="Maiandra GD" w:hAnsi="Maiandra GD" w:cs="Times New Roman"/>
              </w:rPr>
              <w:t>Closing reflections</w:t>
            </w:r>
          </w:p>
        </w:tc>
        <w:tc>
          <w:tcPr>
            <w:tcW w:w="5134" w:type="dxa"/>
            <w:tcMar>
              <w:top w:w="80" w:type="dxa"/>
              <w:left w:w="120" w:type="dxa"/>
              <w:bottom w:w="80" w:type="dxa"/>
              <w:right w:w="120" w:type="dxa"/>
            </w:tcMar>
          </w:tcPr>
          <w:p w14:paraId="5C2C03F8" w14:textId="77777777" w:rsidR="00DC4679" w:rsidRPr="00910A8D" w:rsidRDefault="00DC4679" w:rsidP="00FB4968">
            <w:pPr>
              <w:spacing w:line="276" w:lineRule="auto"/>
              <w:jc w:val="both"/>
              <w:rPr>
                <w:rFonts w:ascii="Maiandra GD" w:hAnsi="Maiandra GD" w:cs="Times New Roman"/>
                <w:b/>
                <w:bCs/>
              </w:rPr>
            </w:pPr>
            <w:r w:rsidRPr="00910A8D">
              <w:rPr>
                <w:rFonts w:ascii="Maiandra GD" w:hAnsi="Maiandra GD" w:cs="Times New Roman"/>
                <w:b/>
                <w:bCs/>
              </w:rPr>
              <w:t>5 minutes</w:t>
            </w:r>
          </w:p>
        </w:tc>
      </w:tr>
      <w:tr w:rsidR="00DC4679" w:rsidRPr="00785B98" w14:paraId="78E515D7" w14:textId="77777777" w:rsidTr="00910A8D">
        <w:trPr>
          <w:trHeight w:val="198"/>
        </w:trPr>
        <w:tc>
          <w:tcPr>
            <w:tcW w:w="4394" w:type="dxa"/>
            <w:shd w:val="clear" w:color="auto" w:fill="EAF2F8"/>
            <w:tcMar>
              <w:top w:w="80" w:type="dxa"/>
              <w:left w:w="120" w:type="dxa"/>
              <w:bottom w:w="80" w:type="dxa"/>
              <w:right w:w="120" w:type="dxa"/>
            </w:tcMar>
            <w:vAlign w:val="center"/>
          </w:tcPr>
          <w:p w14:paraId="041A02E9" w14:textId="77777777" w:rsidR="00DC4679" w:rsidRPr="00785B98" w:rsidRDefault="00DC4679" w:rsidP="00FB4968">
            <w:pPr>
              <w:spacing w:line="276" w:lineRule="auto"/>
              <w:jc w:val="both"/>
              <w:rPr>
                <w:rFonts w:ascii="Maiandra GD" w:hAnsi="Maiandra GD" w:cs="Times New Roman"/>
              </w:rPr>
            </w:pPr>
            <w:r w:rsidRPr="00785B98">
              <w:rPr>
                <w:rFonts w:ascii="Maiandra GD" w:hAnsi="Maiandra GD" w:cs="Times New Roman"/>
                <w:b/>
              </w:rPr>
              <w:t>Total</w:t>
            </w:r>
          </w:p>
        </w:tc>
        <w:tc>
          <w:tcPr>
            <w:tcW w:w="5134" w:type="dxa"/>
            <w:shd w:val="clear" w:color="auto" w:fill="EAF2F8"/>
            <w:tcMar>
              <w:top w:w="80" w:type="dxa"/>
              <w:left w:w="120" w:type="dxa"/>
              <w:bottom w:w="80" w:type="dxa"/>
              <w:right w:w="120" w:type="dxa"/>
            </w:tcMar>
          </w:tcPr>
          <w:p w14:paraId="74EE66A7" w14:textId="24A1C053" w:rsidR="00DC4679" w:rsidRPr="00910A8D" w:rsidRDefault="00DD5D4A" w:rsidP="00FB4968">
            <w:pPr>
              <w:spacing w:line="276" w:lineRule="auto"/>
              <w:jc w:val="both"/>
              <w:rPr>
                <w:rFonts w:ascii="Maiandra GD" w:hAnsi="Maiandra GD" w:cs="Times New Roman"/>
                <w:b/>
                <w:bCs/>
              </w:rPr>
            </w:pPr>
            <w:r>
              <w:rPr>
                <w:rFonts w:ascii="Maiandra GD" w:hAnsi="Maiandra GD" w:cs="Times New Roman"/>
                <w:b/>
                <w:bCs/>
              </w:rPr>
              <w:t>60</w:t>
            </w:r>
            <w:r w:rsidR="00DC4679" w:rsidRPr="00910A8D">
              <w:rPr>
                <w:rFonts w:ascii="Maiandra GD" w:hAnsi="Maiandra GD" w:cs="Times New Roman"/>
                <w:b/>
                <w:bCs/>
              </w:rPr>
              <w:t xml:space="preserve"> minutes</w:t>
            </w:r>
          </w:p>
        </w:tc>
      </w:tr>
    </w:tbl>
    <w:p w14:paraId="0783DF02" w14:textId="23638D6F" w:rsidR="00DC4679" w:rsidRDefault="00DC4679" w:rsidP="002173DE">
      <w:pPr>
        <w:pStyle w:val="Heading1"/>
        <w:numPr>
          <w:ilvl w:val="0"/>
          <w:numId w:val="9"/>
        </w:numPr>
        <w:spacing w:before="200" w:line="360" w:lineRule="auto"/>
        <w:ind w:left="720"/>
        <w:jc w:val="both"/>
        <w:rPr>
          <w:rFonts w:ascii="Maiandra GD" w:hAnsi="Maiandra GD" w:cs="Times New Roman"/>
          <w:b/>
          <w:bCs/>
          <w:sz w:val="22"/>
          <w:szCs w:val="22"/>
        </w:rPr>
      </w:pPr>
      <w:r w:rsidRPr="00785B98">
        <w:rPr>
          <w:rFonts w:ascii="Maiandra GD" w:hAnsi="Maiandra GD" w:cs="Times New Roman"/>
          <w:b/>
          <w:bCs/>
          <w:sz w:val="22"/>
          <w:szCs w:val="22"/>
        </w:rPr>
        <w:t>Recommended Panel Composition</w:t>
      </w:r>
    </w:p>
    <w:p w14:paraId="00DF621A" w14:textId="77777777" w:rsidR="002173DE" w:rsidRDefault="002173DE" w:rsidP="002173DE"/>
    <w:p w14:paraId="1E4367E5" w14:textId="77777777" w:rsidR="002173DE" w:rsidRPr="002173DE" w:rsidRDefault="002173DE" w:rsidP="002173DE"/>
    <w:tbl>
      <w:tblPr>
        <w:tblStyle w:val="TableGrid"/>
        <w:tblW w:w="5373" w:type="pct"/>
        <w:tblInd w:w="-365" w:type="dxa"/>
        <w:tblLook w:val="04A0" w:firstRow="1" w:lastRow="0" w:firstColumn="1" w:lastColumn="0" w:noHBand="0" w:noVBand="1"/>
      </w:tblPr>
      <w:tblGrid>
        <w:gridCol w:w="1980"/>
        <w:gridCol w:w="1903"/>
        <w:gridCol w:w="6737"/>
      </w:tblGrid>
      <w:tr w:rsidR="00335E1F" w:rsidRPr="00A17CD1" w14:paraId="0D247A6E" w14:textId="77777777" w:rsidTr="000F369C">
        <w:trPr>
          <w:trHeight w:val="188"/>
          <w:tblHeader/>
        </w:trPr>
        <w:tc>
          <w:tcPr>
            <w:tcW w:w="932" w:type="pct"/>
          </w:tcPr>
          <w:p w14:paraId="57457550" w14:textId="77777777" w:rsidR="00335E1F" w:rsidRPr="00A17CD1" w:rsidRDefault="00335E1F" w:rsidP="00FB4968">
            <w:pPr>
              <w:spacing w:line="360" w:lineRule="auto"/>
              <w:jc w:val="both"/>
              <w:rPr>
                <w:rFonts w:ascii="Maiandra GD" w:hAnsi="Maiandra GD" w:cs="Times New Roman"/>
                <w:b/>
                <w:bCs/>
              </w:rPr>
            </w:pPr>
            <w:r w:rsidRPr="00A17CD1">
              <w:rPr>
                <w:rFonts w:ascii="Maiandra GD" w:hAnsi="Maiandra GD" w:cs="Times New Roman"/>
                <w:b/>
                <w:bCs/>
              </w:rPr>
              <w:lastRenderedPageBreak/>
              <w:t>Participant</w:t>
            </w:r>
          </w:p>
        </w:tc>
        <w:tc>
          <w:tcPr>
            <w:tcW w:w="896" w:type="pct"/>
          </w:tcPr>
          <w:p w14:paraId="1EB26DB5" w14:textId="77777777" w:rsidR="00335E1F" w:rsidRPr="00A17CD1" w:rsidRDefault="00335E1F" w:rsidP="00FB4968">
            <w:pPr>
              <w:spacing w:line="360" w:lineRule="auto"/>
              <w:jc w:val="both"/>
              <w:rPr>
                <w:rFonts w:ascii="Maiandra GD" w:hAnsi="Maiandra GD" w:cs="Times New Roman"/>
                <w:b/>
                <w:bCs/>
              </w:rPr>
            </w:pPr>
            <w:r w:rsidRPr="00A17CD1">
              <w:rPr>
                <w:rFonts w:ascii="Maiandra GD" w:hAnsi="Maiandra GD" w:cs="Times New Roman"/>
                <w:b/>
                <w:bCs/>
              </w:rPr>
              <w:t>Area of discussion</w:t>
            </w:r>
          </w:p>
        </w:tc>
        <w:tc>
          <w:tcPr>
            <w:tcW w:w="3172" w:type="pct"/>
          </w:tcPr>
          <w:p w14:paraId="3E2784F5" w14:textId="77777777" w:rsidR="00335E1F" w:rsidRPr="00A17CD1" w:rsidRDefault="00335E1F" w:rsidP="00FB4968">
            <w:pPr>
              <w:spacing w:line="360" w:lineRule="auto"/>
              <w:jc w:val="both"/>
              <w:rPr>
                <w:rFonts w:ascii="Maiandra GD" w:hAnsi="Maiandra GD" w:cs="Times New Roman"/>
                <w:b/>
                <w:bCs/>
              </w:rPr>
            </w:pPr>
            <w:r w:rsidRPr="00A17CD1">
              <w:rPr>
                <w:rFonts w:ascii="Maiandra GD" w:hAnsi="Maiandra GD"/>
                <w:b/>
                <w:bCs/>
              </w:rPr>
              <w:t>How the discussion relates to the keynote</w:t>
            </w:r>
          </w:p>
        </w:tc>
      </w:tr>
      <w:tr w:rsidR="00335E1F" w:rsidRPr="00A17CD1" w14:paraId="3EC64C02" w14:textId="77777777" w:rsidTr="000F369C">
        <w:trPr>
          <w:trHeight w:val="350"/>
          <w:tblHeader/>
        </w:trPr>
        <w:tc>
          <w:tcPr>
            <w:tcW w:w="932" w:type="pct"/>
          </w:tcPr>
          <w:p w14:paraId="4B79961E" w14:textId="77777777" w:rsidR="00335E1F" w:rsidRPr="00A17CD1" w:rsidRDefault="00335E1F" w:rsidP="00FB4968">
            <w:pPr>
              <w:spacing w:line="360" w:lineRule="auto"/>
              <w:rPr>
                <w:rFonts w:ascii="Maiandra GD" w:eastAsia="Times New Roman" w:hAnsi="Maiandra GD" w:cs="Times New Roman"/>
                <w:b/>
              </w:rPr>
            </w:pPr>
            <w:r w:rsidRPr="00A17CD1">
              <w:rPr>
                <w:rFonts w:ascii="Maiandra GD" w:eastAsia="Times New Roman" w:hAnsi="Maiandra GD" w:cs="Times New Roman"/>
                <w:b/>
              </w:rPr>
              <w:t>Lead Presenter: Prof. Massamba Diouf - Executive</w:t>
            </w:r>
          </w:p>
          <w:p w14:paraId="1280D3AB" w14:textId="77777777" w:rsidR="00335E1F" w:rsidRPr="00A17CD1" w:rsidRDefault="00335E1F" w:rsidP="00FB4968">
            <w:pPr>
              <w:spacing w:line="360" w:lineRule="auto"/>
              <w:rPr>
                <w:rFonts w:ascii="Maiandra GD" w:eastAsia="Times New Roman" w:hAnsi="Maiandra GD" w:cs="Times New Roman"/>
                <w:b/>
              </w:rPr>
            </w:pPr>
            <w:r w:rsidRPr="00A17CD1">
              <w:rPr>
                <w:rFonts w:ascii="Maiandra GD" w:eastAsia="Times New Roman" w:hAnsi="Maiandra GD" w:cs="Times New Roman"/>
                <w:b/>
              </w:rPr>
              <w:t>Secretary of the National Authority for Quality</w:t>
            </w:r>
          </w:p>
          <w:p w14:paraId="734507A2" w14:textId="77777777" w:rsidR="00335E1F" w:rsidRPr="00A17CD1" w:rsidRDefault="00335E1F" w:rsidP="00FB4968">
            <w:pPr>
              <w:spacing w:line="360" w:lineRule="auto"/>
              <w:rPr>
                <w:rFonts w:ascii="Maiandra GD" w:eastAsia="Times New Roman" w:hAnsi="Maiandra GD" w:cs="Times New Roman"/>
                <w:b/>
              </w:rPr>
            </w:pPr>
            <w:r w:rsidRPr="00A17CD1">
              <w:rPr>
                <w:rFonts w:ascii="Maiandra GD" w:eastAsia="Times New Roman" w:hAnsi="Maiandra GD" w:cs="Times New Roman"/>
                <w:b/>
              </w:rPr>
              <w:t>Assurance in Higher Education, Research and</w:t>
            </w:r>
          </w:p>
          <w:p w14:paraId="3A42BAC0" w14:textId="77777777" w:rsidR="00335E1F" w:rsidRPr="00A17CD1" w:rsidRDefault="00335E1F" w:rsidP="00FB4968">
            <w:pPr>
              <w:spacing w:line="360" w:lineRule="auto"/>
              <w:rPr>
                <w:rFonts w:ascii="Maiandra GD" w:eastAsia="Times New Roman" w:hAnsi="Maiandra GD" w:cs="Times New Roman"/>
                <w:b/>
              </w:rPr>
            </w:pPr>
            <w:r w:rsidRPr="00A17CD1">
              <w:rPr>
                <w:rFonts w:ascii="Maiandra GD" w:eastAsia="Times New Roman" w:hAnsi="Maiandra GD" w:cs="Times New Roman"/>
                <w:b/>
              </w:rPr>
              <w:t>Innovation (ANAQ -Sup) of Senegal</w:t>
            </w:r>
          </w:p>
        </w:tc>
        <w:tc>
          <w:tcPr>
            <w:tcW w:w="896" w:type="pct"/>
          </w:tcPr>
          <w:p w14:paraId="2D033CFB" w14:textId="77777777" w:rsidR="00335E1F" w:rsidRPr="00A17CD1" w:rsidRDefault="00335E1F" w:rsidP="00FB4968">
            <w:pPr>
              <w:spacing w:line="360" w:lineRule="auto"/>
              <w:jc w:val="both"/>
              <w:rPr>
                <w:rFonts w:ascii="Maiandra GD" w:hAnsi="Maiandra GD" w:cs="Times New Roman"/>
                <w:b/>
                <w:bCs/>
              </w:rPr>
            </w:pPr>
            <w:r w:rsidRPr="00A17CD1">
              <w:rPr>
                <w:rFonts w:ascii="Maiandra GD" w:hAnsi="Maiandra GD" w:cs="Times New Roman"/>
                <w:b/>
                <w:bCs/>
              </w:rPr>
              <w:t>Global and continental perspective on harmonisation of qualifications frameworks</w:t>
            </w:r>
          </w:p>
        </w:tc>
        <w:tc>
          <w:tcPr>
            <w:tcW w:w="3172" w:type="pct"/>
          </w:tcPr>
          <w:p w14:paraId="70472BDE" w14:textId="77777777" w:rsidR="00335E1F" w:rsidRPr="00A17CD1" w:rsidRDefault="00335E1F" w:rsidP="00FB4968">
            <w:pPr>
              <w:spacing w:line="360" w:lineRule="auto"/>
              <w:jc w:val="both"/>
              <w:rPr>
                <w:rFonts w:ascii="Maiandra GD" w:hAnsi="Maiandra GD"/>
              </w:rPr>
            </w:pPr>
            <w:r w:rsidRPr="00A17CD1">
              <w:rPr>
                <w:rFonts w:ascii="Maiandra GD" w:hAnsi="Maiandra GD" w:cs="Times New Roman"/>
                <w:bCs/>
              </w:rPr>
              <w:t>To</w:t>
            </w:r>
            <w:r w:rsidRPr="00A17CD1">
              <w:rPr>
                <w:rFonts w:ascii="Maiandra GD" w:hAnsi="Maiandra GD"/>
              </w:rPr>
              <w:t xml:space="preserve"> provide the </w:t>
            </w:r>
            <w:r w:rsidRPr="00A17CD1">
              <w:rPr>
                <w:rStyle w:val="Strong"/>
                <w:rFonts w:ascii="Maiandra GD" w:hAnsi="Maiandra GD"/>
                <w:b w:val="0"/>
              </w:rPr>
              <w:t>keynote framing of the session</w:t>
            </w:r>
            <w:r w:rsidRPr="00A17CD1">
              <w:rPr>
                <w:rFonts w:ascii="Maiandra GD" w:hAnsi="Maiandra GD"/>
              </w:rPr>
              <w:t xml:space="preserve"> by situating harmonisation within global and African trends in qualifications frameworks. The Lead Presenter should articulate how frameworks such as the </w:t>
            </w:r>
            <w:r w:rsidRPr="00A17CD1">
              <w:rPr>
                <w:rStyle w:val="Strong"/>
                <w:rFonts w:ascii="Maiandra GD" w:hAnsi="Maiandra GD"/>
                <w:b w:val="0"/>
              </w:rPr>
              <w:t>European Qualifications Framework (EQF)</w:t>
            </w:r>
            <w:r w:rsidRPr="00A17CD1">
              <w:rPr>
                <w:rFonts w:ascii="Maiandra GD" w:hAnsi="Maiandra GD"/>
              </w:rPr>
              <w:t xml:space="preserve"> and the </w:t>
            </w:r>
            <w:r w:rsidRPr="00A17CD1">
              <w:rPr>
                <w:rStyle w:val="Strong"/>
                <w:rFonts w:ascii="Maiandra GD" w:hAnsi="Maiandra GD"/>
                <w:b w:val="0"/>
              </w:rPr>
              <w:t>African Continental Qualifications Framework (ACQF)</w:t>
            </w:r>
            <w:r w:rsidRPr="00A17CD1">
              <w:rPr>
                <w:rFonts w:ascii="Maiandra GD" w:hAnsi="Maiandra GD"/>
              </w:rPr>
              <w:t xml:space="preserve"> are shaping comparability, recognition, and mobility across systems.</w:t>
            </w:r>
          </w:p>
          <w:p w14:paraId="756AD6CF" w14:textId="77777777" w:rsidR="00335E1F" w:rsidRPr="00A17CD1" w:rsidRDefault="00335E1F" w:rsidP="00FB4968">
            <w:pPr>
              <w:spacing w:line="360" w:lineRule="auto"/>
              <w:jc w:val="both"/>
              <w:rPr>
                <w:rFonts w:ascii="Maiandra GD" w:hAnsi="Maiandra GD" w:cs="Times New Roman"/>
                <w:bCs/>
              </w:rPr>
            </w:pPr>
            <w:r w:rsidRPr="00A17CD1">
              <w:rPr>
                <w:rFonts w:ascii="Maiandra GD" w:hAnsi="Maiandra GD" w:cs="Times New Roman"/>
                <w:bCs/>
              </w:rPr>
              <w:t>The presentation will highlight the strategic role of NQFs as “translation tools” that enable different education and training systems to communicate, while maintaining national identity; Provide insight into practical pathways for harmonisation, including alignment of level descriptors, strengthening of quality assurance systems, and development of interoperable qualifications registers.</w:t>
            </w:r>
          </w:p>
          <w:p w14:paraId="1EBFCA72" w14:textId="77777777" w:rsidR="00335E1F" w:rsidRPr="00A17CD1" w:rsidRDefault="00335E1F" w:rsidP="00FB4968">
            <w:pPr>
              <w:spacing w:line="360" w:lineRule="auto"/>
              <w:jc w:val="both"/>
              <w:rPr>
                <w:rFonts w:ascii="Maiandra GD" w:hAnsi="Maiandra GD" w:cs="Times New Roman"/>
                <w:bCs/>
              </w:rPr>
            </w:pPr>
            <w:r w:rsidRPr="00A17CD1">
              <w:rPr>
                <w:rFonts w:ascii="Maiandra GD" w:hAnsi="Maiandra GD" w:cs="Times New Roman"/>
                <w:bCs/>
              </w:rPr>
              <w:t>The Lead Presenter will outline key lessons from international and continental experiences, identify persistent challenges to mutual recognition, and propose strategic priorities for African countries – including Kenya – to position their frameworks within regional and global ecosystems.</w:t>
            </w:r>
          </w:p>
        </w:tc>
      </w:tr>
      <w:tr w:rsidR="00335E1F" w:rsidRPr="00A17CD1" w14:paraId="4A4E3CC8" w14:textId="77777777" w:rsidTr="000F369C">
        <w:trPr>
          <w:trHeight w:val="576"/>
          <w:tblHeader/>
        </w:trPr>
        <w:tc>
          <w:tcPr>
            <w:tcW w:w="932" w:type="pct"/>
          </w:tcPr>
          <w:p w14:paraId="585EC556" w14:textId="77777777" w:rsidR="00335E1F" w:rsidRPr="00A17CD1" w:rsidRDefault="00335E1F" w:rsidP="00FB4968">
            <w:pPr>
              <w:spacing w:line="360" w:lineRule="auto"/>
              <w:jc w:val="both"/>
              <w:rPr>
                <w:rFonts w:ascii="Maiandra GD" w:hAnsi="Maiandra GD" w:cs="Times New Roman"/>
                <w:b/>
                <w:bCs/>
                <w:color w:val="000000" w:themeColor="text1"/>
              </w:rPr>
            </w:pPr>
            <w:r w:rsidRPr="00A17CD1">
              <w:rPr>
                <w:rFonts w:ascii="Maiandra GD" w:hAnsi="Maiandra GD" w:cs="Times New Roman"/>
                <w:b/>
                <w:bCs/>
                <w:color w:val="000000" w:themeColor="text1"/>
              </w:rPr>
              <w:t>Panelist 1: Dr. James Njogu, HSC - Ag. CEO, Kenya</w:t>
            </w:r>
          </w:p>
          <w:p w14:paraId="46C56190" w14:textId="77777777" w:rsidR="00335E1F" w:rsidRPr="00A17CD1" w:rsidRDefault="00335E1F" w:rsidP="00FB4968">
            <w:pPr>
              <w:spacing w:line="360" w:lineRule="auto"/>
              <w:jc w:val="both"/>
              <w:rPr>
                <w:rFonts w:ascii="Maiandra GD" w:hAnsi="Maiandra GD" w:cs="Times New Roman"/>
                <w:b/>
                <w:bCs/>
                <w:color w:val="000000" w:themeColor="text1"/>
              </w:rPr>
            </w:pPr>
            <w:r w:rsidRPr="00A17CD1">
              <w:rPr>
                <w:rFonts w:ascii="Maiandra GD" w:hAnsi="Maiandra GD" w:cs="Times New Roman"/>
                <w:b/>
                <w:bCs/>
                <w:color w:val="000000" w:themeColor="text1"/>
              </w:rPr>
              <w:t>National Commission for UNESCO</w:t>
            </w:r>
          </w:p>
          <w:p w14:paraId="1D3CABAE" w14:textId="77777777" w:rsidR="00335E1F" w:rsidRPr="00A17CD1" w:rsidRDefault="00335E1F" w:rsidP="00FB4968">
            <w:pPr>
              <w:spacing w:line="360" w:lineRule="auto"/>
              <w:jc w:val="both"/>
              <w:rPr>
                <w:rFonts w:ascii="Maiandra GD" w:hAnsi="Maiandra GD" w:cs="Times New Roman"/>
                <w:b/>
                <w:bCs/>
                <w:color w:val="000000" w:themeColor="text1"/>
              </w:rPr>
            </w:pPr>
            <w:r w:rsidRPr="00A17CD1">
              <w:rPr>
                <w:rFonts w:ascii="Maiandra GD" w:hAnsi="Maiandra GD" w:cs="Times New Roman"/>
                <w:b/>
                <w:bCs/>
                <w:color w:val="000000" w:themeColor="text1"/>
              </w:rPr>
              <w:t>(KNATCOM)</w:t>
            </w:r>
          </w:p>
        </w:tc>
        <w:tc>
          <w:tcPr>
            <w:tcW w:w="896" w:type="pct"/>
          </w:tcPr>
          <w:p w14:paraId="3B92E7EF" w14:textId="77777777" w:rsidR="00335E1F" w:rsidRPr="00A17CD1" w:rsidRDefault="00335E1F" w:rsidP="00FB4968">
            <w:pPr>
              <w:spacing w:line="360" w:lineRule="auto"/>
              <w:jc w:val="both"/>
              <w:rPr>
                <w:rFonts w:ascii="Maiandra GD" w:hAnsi="Maiandra GD" w:cs="Times New Roman"/>
                <w:b/>
                <w:bCs/>
                <w:color w:val="000000" w:themeColor="text1"/>
              </w:rPr>
            </w:pPr>
            <w:r w:rsidRPr="00A17CD1">
              <w:rPr>
                <w:rFonts w:ascii="Maiandra GD" w:hAnsi="Maiandra GD" w:cs="Times New Roman"/>
                <w:b/>
                <w:bCs/>
                <w:color w:val="000000" w:themeColor="text1"/>
              </w:rPr>
              <w:t>Global recognition frameworks and conventions</w:t>
            </w:r>
          </w:p>
        </w:tc>
        <w:tc>
          <w:tcPr>
            <w:tcW w:w="3172" w:type="pct"/>
          </w:tcPr>
          <w:p w14:paraId="0DD89EBC" w14:textId="77777777" w:rsidR="00335E1F" w:rsidRPr="00A17CD1" w:rsidRDefault="00335E1F" w:rsidP="00FB4968">
            <w:pPr>
              <w:spacing w:line="360" w:lineRule="auto"/>
              <w:jc w:val="both"/>
              <w:rPr>
                <w:rFonts w:ascii="Maiandra GD" w:hAnsi="Maiandra GD" w:cs="Times New Roman"/>
                <w:b/>
                <w:bCs/>
                <w:color w:val="000000" w:themeColor="text1"/>
              </w:rPr>
            </w:pPr>
            <w:r w:rsidRPr="00A17CD1">
              <w:rPr>
                <w:rFonts w:ascii="Maiandra GD" w:hAnsi="Maiandra GD" w:cs="Times New Roman"/>
                <w:color w:val="000000" w:themeColor="text1"/>
              </w:rPr>
              <w:t>To provide perspective on UNESCO instruments and global conventions that support recognition, comparability, and cooperation across education systems.</w:t>
            </w:r>
          </w:p>
        </w:tc>
      </w:tr>
      <w:tr w:rsidR="00335E1F" w:rsidRPr="00A17CD1" w14:paraId="58A8FB11" w14:textId="77777777" w:rsidTr="000F369C">
        <w:trPr>
          <w:trHeight w:val="576"/>
          <w:tblHeader/>
        </w:trPr>
        <w:tc>
          <w:tcPr>
            <w:tcW w:w="932" w:type="pct"/>
          </w:tcPr>
          <w:p w14:paraId="367E9E1F" w14:textId="77777777" w:rsidR="00335E1F" w:rsidRPr="00A17CD1" w:rsidRDefault="00335E1F" w:rsidP="00FB4968">
            <w:pPr>
              <w:spacing w:line="360" w:lineRule="auto"/>
              <w:jc w:val="both"/>
              <w:rPr>
                <w:rFonts w:ascii="Maiandra GD" w:hAnsi="Maiandra GD" w:cs="Times New Roman"/>
                <w:b/>
              </w:rPr>
            </w:pPr>
            <w:r w:rsidRPr="00A17CD1">
              <w:rPr>
                <w:rFonts w:ascii="Maiandra GD" w:hAnsi="Maiandra GD" w:cs="Times New Roman"/>
                <w:b/>
                <w:bCs/>
              </w:rPr>
              <w:t xml:space="preserve">Panelist 2: Prof. Meshack Obonyo– IUCEA </w:t>
            </w:r>
          </w:p>
        </w:tc>
        <w:tc>
          <w:tcPr>
            <w:tcW w:w="896" w:type="pct"/>
          </w:tcPr>
          <w:p w14:paraId="3284E075" w14:textId="77777777" w:rsidR="00335E1F" w:rsidRPr="00A17CD1" w:rsidRDefault="00335E1F" w:rsidP="00FB4968">
            <w:pPr>
              <w:spacing w:line="360" w:lineRule="auto"/>
              <w:jc w:val="both"/>
              <w:rPr>
                <w:rFonts w:ascii="Maiandra GD" w:hAnsi="Maiandra GD" w:cs="Times New Roman"/>
                <w:b/>
                <w:bCs/>
              </w:rPr>
            </w:pPr>
            <w:r w:rsidRPr="00A17CD1">
              <w:rPr>
                <w:rFonts w:ascii="Maiandra GD" w:hAnsi="Maiandra GD" w:cs="Times New Roman"/>
                <w:b/>
                <w:bCs/>
              </w:rPr>
              <w:t>Regional harmonisation and higher education integration</w:t>
            </w:r>
          </w:p>
        </w:tc>
        <w:tc>
          <w:tcPr>
            <w:tcW w:w="3172" w:type="pct"/>
          </w:tcPr>
          <w:p w14:paraId="2EA3B023" w14:textId="77777777" w:rsidR="00335E1F" w:rsidRPr="00A17CD1" w:rsidRDefault="00335E1F" w:rsidP="00FB4968">
            <w:pPr>
              <w:spacing w:line="360" w:lineRule="auto"/>
              <w:jc w:val="both"/>
              <w:rPr>
                <w:rFonts w:ascii="Maiandra GD" w:hAnsi="Maiandra GD" w:cs="Times New Roman"/>
              </w:rPr>
            </w:pPr>
            <w:r w:rsidRPr="00A17CD1">
              <w:rPr>
                <w:rFonts w:ascii="Maiandra GD" w:hAnsi="Maiandra GD" w:cs="Times New Roman"/>
              </w:rPr>
              <w:t>To provide insight into how regional bodies are aligning qualifications systems, developing shared frameworks, and facilitating comparability and mobility within the East African region.</w:t>
            </w:r>
          </w:p>
        </w:tc>
      </w:tr>
      <w:tr w:rsidR="00335E1F" w:rsidRPr="00A17CD1" w14:paraId="0ABE1D4F" w14:textId="77777777" w:rsidTr="000F369C">
        <w:trPr>
          <w:trHeight w:val="576"/>
          <w:tblHeader/>
        </w:trPr>
        <w:tc>
          <w:tcPr>
            <w:tcW w:w="932" w:type="pct"/>
          </w:tcPr>
          <w:p w14:paraId="65B49889" w14:textId="77777777" w:rsidR="00335E1F" w:rsidRPr="00A17CD1" w:rsidRDefault="00335E1F" w:rsidP="00FB4968">
            <w:pPr>
              <w:spacing w:line="360" w:lineRule="auto"/>
              <w:jc w:val="both"/>
              <w:rPr>
                <w:rFonts w:ascii="Maiandra GD" w:hAnsi="Maiandra GD" w:cs="Times New Roman"/>
                <w:b/>
                <w:bCs/>
              </w:rPr>
            </w:pPr>
            <w:r w:rsidRPr="00A17CD1">
              <w:rPr>
                <w:rFonts w:ascii="Maiandra GD" w:hAnsi="Maiandra GD" w:cs="Times New Roman"/>
                <w:b/>
                <w:bCs/>
              </w:rPr>
              <w:t>Panelist 3: Nicholas Ouma - Senior Youth Advisor,</w:t>
            </w:r>
          </w:p>
          <w:p w14:paraId="5C4CA60C" w14:textId="77777777" w:rsidR="00335E1F" w:rsidRPr="00A17CD1" w:rsidRDefault="00335E1F" w:rsidP="00FB4968">
            <w:pPr>
              <w:spacing w:line="360" w:lineRule="auto"/>
              <w:jc w:val="both"/>
              <w:rPr>
                <w:rFonts w:ascii="Maiandra GD" w:hAnsi="Maiandra GD" w:cs="Times New Roman"/>
                <w:b/>
                <w:bCs/>
              </w:rPr>
            </w:pPr>
            <w:r w:rsidRPr="00A17CD1">
              <w:rPr>
                <w:rFonts w:ascii="Maiandra GD" w:hAnsi="Maiandra GD" w:cs="Times New Roman"/>
                <w:b/>
                <w:bCs/>
              </w:rPr>
              <w:t>AU Commission</w:t>
            </w:r>
          </w:p>
        </w:tc>
        <w:tc>
          <w:tcPr>
            <w:tcW w:w="896" w:type="pct"/>
          </w:tcPr>
          <w:p w14:paraId="038AF1E1" w14:textId="77777777" w:rsidR="00335E1F" w:rsidRPr="00A17CD1" w:rsidRDefault="00335E1F" w:rsidP="00FB4968">
            <w:pPr>
              <w:spacing w:line="360" w:lineRule="auto"/>
              <w:jc w:val="both"/>
              <w:rPr>
                <w:rFonts w:ascii="Maiandra GD" w:hAnsi="Maiandra GD" w:cs="Times New Roman"/>
                <w:b/>
                <w:bCs/>
              </w:rPr>
            </w:pPr>
            <w:r w:rsidRPr="00A17CD1">
              <w:rPr>
                <w:rFonts w:ascii="Maiandra GD" w:hAnsi="Maiandra GD" w:cs="Times New Roman"/>
                <w:b/>
                <w:bCs/>
              </w:rPr>
              <w:t>Continental frameworks and labour mobility</w:t>
            </w:r>
          </w:p>
        </w:tc>
        <w:tc>
          <w:tcPr>
            <w:tcW w:w="3172" w:type="pct"/>
          </w:tcPr>
          <w:p w14:paraId="046DFE36" w14:textId="77777777" w:rsidR="00335E1F" w:rsidRPr="00A17CD1" w:rsidRDefault="00335E1F" w:rsidP="00FB4968">
            <w:pPr>
              <w:spacing w:line="360" w:lineRule="auto"/>
              <w:jc w:val="both"/>
              <w:rPr>
                <w:rFonts w:ascii="Maiandra GD" w:hAnsi="Maiandra GD" w:cs="Times New Roman"/>
              </w:rPr>
            </w:pPr>
            <w:r w:rsidRPr="00A17CD1">
              <w:rPr>
                <w:rFonts w:ascii="Maiandra GD" w:hAnsi="Maiandra GD" w:cs="Times New Roman"/>
              </w:rPr>
              <w:t>To share insights on African Union initiatives such as the ACQF and their role in supporting harmonisation, skills recognition, and labour mobility across Africa.</w:t>
            </w:r>
          </w:p>
        </w:tc>
      </w:tr>
      <w:tr w:rsidR="00335E1F" w:rsidRPr="00A17CD1" w14:paraId="05F48CC5" w14:textId="77777777" w:rsidTr="000F369C">
        <w:trPr>
          <w:trHeight w:val="576"/>
          <w:tblHeader/>
        </w:trPr>
        <w:tc>
          <w:tcPr>
            <w:tcW w:w="932" w:type="pct"/>
          </w:tcPr>
          <w:p w14:paraId="3A772250" w14:textId="77777777" w:rsidR="00335E1F" w:rsidRPr="00A17CD1" w:rsidRDefault="00335E1F" w:rsidP="00FB4968">
            <w:pPr>
              <w:spacing w:line="360" w:lineRule="auto"/>
              <w:jc w:val="both"/>
              <w:rPr>
                <w:rFonts w:ascii="Maiandra GD" w:hAnsi="Maiandra GD" w:cs="Times New Roman"/>
                <w:b/>
                <w:bCs/>
              </w:rPr>
            </w:pPr>
            <w:r w:rsidRPr="00A17CD1">
              <w:rPr>
                <w:rFonts w:ascii="Maiandra GD" w:hAnsi="Maiandra GD" w:cs="Times New Roman"/>
                <w:b/>
                <w:bCs/>
              </w:rPr>
              <w:lastRenderedPageBreak/>
              <w:t>Moderator: Dr. David Katiambo, State Department for Diaspora Affairs</w:t>
            </w:r>
          </w:p>
        </w:tc>
        <w:tc>
          <w:tcPr>
            <w:tcW w:w="896" w:type="pct"/>
          </w:tcPr>
          <w:p w14:paraId="076C1CE6" w14:textId="77777777" w:rsidR="00335E1F" w:rsidRPr="00A17CD1" w:rsidRDefault="00335E1F" w:rsidP="00FB4968">
            <w:pPr>
              <w:spacing w:line="360" w:lineRule="auto"/>
              <w:jc w:val="both"/>
              <w:rPr>
                <w:rFonts w:ascii="Maiandra GD" w:hAnsi="Maiandra GD" w:cs="Times New Roman"/>
                <w:b/>
                <w:bCs/>
              </w:rPr>
            </w:pPr>
            <w:r w:rsidRPr="00A17CD1">
              <w:rPr>
                <w:rFonts w:ascii="Maiandra GD" w:hAnsi="Maiandra GD" w:cs="Times New Roman"/>
                <w:b/>
                <w:bCs/>
              </w:rPr>
              <w:t>Policy coordination, diaspora mobility, and global linkages</w:t>
            </w:r>
          </w:p>
        </w:tc>
        <w:tc>
          <w:tcPr>
            <w:tcW w:w="3172" w:type="pct"/>
          </w:tcPr>
          <w:p w14:paraId="599D621E" w14:textId="77777777" w:rsidR="00335E1F" w:rsidRPr="00A17CD1" w:rsidRDefault="00335E1F" w:rsidP="00FB4968">
            <w:pPr>
              <w:spacing w:line="360" w:lineRule="auto"/>
              <w:jc w:val="both"/>
              <w:rPr>
                <w:rFonts w:ascii="Maiandra GD" w:hAnsi="Maiandra GD"/>
              </w:rPr>
            </w:pPr>
            <w:r w:rsidRPr="00A17CD1">
              <w:rPr>
                <w:rFonts w:ascii="Maiandra GD" w:hAnsi="Maiandra GD" w:cs="Times New Roman"/>
              </w:rPr>
              <w:t>T</w:t>
            </w:r>
            <w:r w:rsidRPr="00A17CD1">
              <w:rPr>
                <w:rFonts w:ascii="Maiandra GD" w:hAnsi="Maiandra GD"/>
              </w:rPr>
              <w:t xml:space="preserve">o guide the discussion toward </w:t>
            </w:r>
            <w:r w:rsidRPr="00A17CD1">
              <w:rPr>
                <w:rStyle w:val="Strong"/>
                <w:rFonts w:ascii="Maiandra GD" w:hAnsi="Maiandra GD"/>
                <w:b w:val="0"/>
              </w:rPr>
              <w:t>practical and policy-relevant outcomes</w:t>
            </w:r>
            <w:r w:rsidRPr="00A17CD1">
              <w:rPr>
                <w:rFonts w:ascii="Maiandra GD" w:hAnsi="Maiandra GD"/>
                <w:b/>
              </w:rPr>
              <w:t>,</w:t>
            </w:r>
            <w:r w:rsidRPr="00A17CD1">
              <w:rPr>
                <w:rFonts w:ascii="Maiandra GD" w:hAnsi="Maiandra GD"/>
              </w:rPr>
              <w:t xml:space="preserve"> drawing linkages between harmonisation, labour mobility, and global opportunities for Kenyan and African talent. The Moderator will frame the discussion around how qualifications frameworks can support </w:t>
            </w:r>
            <w:r w:rsidRPr="00A17CD1">
              <w:rPr>
                <w:rStyle w:val="Strong"/>
                <w:rFonts w:ascii="Maiandra GD" w:hAnsi="Maiandra GD"/>
                <w:b w:val="0"/>
              </w:rPr>
              <w:t>mobility of skills across borders</w:t>
            </w:r>
            <w:r w:rsidRPr="00A17CD1">
              <w:rPr>
                <w:rFonts w:ascii="Maiandra GD" w:hAnsi="Maiandra GD"/>
              </w:rPr>
              <w:t>, including diaspora engagement.</w:t>
            </w:r>
          </w:p>
          <w:p w14:paraId="05CA0C71" w14:textId="77777777" w:rsidR="00335E1F" w:rsidRPr="00A17CD1" w:rsidRDefault="00335E1F" w:rsidP="00FB4968">
            <w:pPr>
              <w:spacing w:line="360" w:lineRule="auto"/>
              <w:jc w:val="both"/>
              <w:rPr>
                <w:rFonts w:ascii="Maiandra GD" w:hAnsi="Maiandra GD"/>
              </w:rPr>
            </w:pPr>
            <w:r w:rsidRPr="00A17CD1">
              <w:rPr>
                <w:rFonts w:ascii="Maiandra GD" w:hAnsi="Maiandra GD"/>
              </w:rPr>
              <w:t xml:space="preserve">He will also facilitate </w:t>
            </w:r>
            <w:r w:rsidRPr="00A17CD1">
              <w:rPr>
                <w:rStyle w:val="Strong"/>
                <w:rFonts w:ascii="Maiandra GD" w:hAnsi="Maiandra GD"/>
                <w:b w:val="0"/>
              </w:rPr>
              <w:t>cross-panel synthesis</w:t>
            </w:r>
            <w:r w:rsidRPr="00A17CD1">
              <w:rPr>
                <w:rFonts w:ascii="Maiandra GD" w:hAnsi="Maiandra GD"/>
              </w:rPr>
              <w:t xml:space="preserve">, ensuring that perspectives from regional, continental, and global actors translate into </w:t>
            </w:r>
            <w:r w:rsidRPr="00A17CD1">
              <w:rPr>
                <w:rStyle w:val="Strong"/>
                <w:rFonts w:ascii="Maiandra GD" w:hAnsi="Maiandra GD"/>
                <w:b w:val="0"/>
              </w:rPr>
              <w:t>clear, actionable insights for Kenya’s KNQF positioning</w:t>
            </w:r>
            <w:r w:rsidRPr="00A17CD1">
              <w:rPr>
                <w:rFonts w:ascii="Maiandra GD" w:hAnsi="Maiandra GD"/>
              </w:rPr>
              <w:t xml:space="preserve">. </w:t>
            </w:r>
          </w:p>
          <w:p w14:paraId="334C01F9" w14:textId="77777777" w:rsidR="00335E1F" w:rsidRPr="00A17CD1" w:rsidRDefault="00335E1F" w:rsidP="00FB4968">
            <w:pPr>
              <w:spacing w:line="360" w:lineRule="auto"/>
              <w:jc w:val="both"/>
              <w:rPr>
                <w:rFonts w:ascii="Maiandra GD" w:hAnsi="Maiandra GD" w:cs="Times New Roman"/>
                <w:i/>
              </w:rPr>
            </w:pPr>
            <w:r w:rsidRPr="00A17CD1">
              <w:rPr>
                <w:rFonts w:ascii="Maiandra GD" w:hAnsi="Maiandra GD"/>
              </w:rPr>
              <w:t xml:space="preserve">In addition, the Moderator will steer audience engagement and ensure alignment of discussions with the session objective of </w:t>
            </w:r>
            <w:r w:rsidRPr="00A17CD1">
              <w:rPr>
                <w:rStyle w:val="Strong"/>
                <w:rFonts w:ascii="Maiandra GD" w:hAnsi="Maiandra GD"/>
                <w:b w:val="0"/>
              </w:rPr>
              <w:t>building interoperable, trusted, and globally connected qualifications systems</w:t>
            </w:r>
            <w:r w:rsidRPr="00A17CD1">
              <w:rPr>
                <w:rFonts w:ascii="Maiandra GD" w:hAnsi="Maiandra GD"/>
              </w:rPr>
              <w:t>.</w:t>
            </w:r>
          </w:p>
        </w:tc>
      </w:tr>
    </w:tbl>
    <w:p w14:paraId="1CDB11B6" w14:textId="77777777" w:rsidR="00A17CD1" w:rsidRDefault="00A17CD1" w:rsidP="00A17CD1">
      <w:pPr>
        <w:pStyle w:val="Heading1"/>
        <w:spacing w:before="200" w:line="360" w:lineRule="auto"/>
        <w:ind w:left="360"/>
        <w:jc w:val="both"/>
        <w:rPr>
          <w:rFonts w:ascii="Maiandra GD" w:hAnsi="Maiandra GD" w:cs="Times New Roman"/>
          <w:b/>
          <w:bCs/>
          <w:sz w:val="22"/>
          <w:szCs w:val="22"/>
        </w:rPr>
      </w:pPr>
    </w:p>
    <w:p w14:paraId="36255AEA" w14:textId="3CBF959A" w:rsidR="00DC4679" w:rsidRPr="00785B98" w:rsidRDefault="00DC4679" w:rsidP="00FB4968">
      <w:pPr>
        <w:pStyle w:val="Heading1"/>
        <w:numPr>
          <w:ilvl w:val="0"/>
          <w:numId w:val="9"/>
        </w:numPr>
        <w:spacing w:before="200" w:line="360" w:lineRule="auto"/>
        <w:jc w:val="both"/>
        <w:rPr>
          <w:rFonts w:ascii="Maiandra GD" w:hAnsi="Maiandra GD" w:cs="Times New Roman"/>
          <w:b/>
          <w:bCs/>
          <w:sz w:val="22"/>
          <w:szCs w:val="22"/>
        </w:rPr>
      </w:pPr>
      <w:r w:rsidRPr="00785B98">
        <w:rPr>
          <w:rFonts w:ascii="Maiandra GD" w:hAnsi="Maiandra GD" w:cs="Times New Roman"/>
          <w:b/>
          <w:bCs/>
          <w:sz w:val="22"/>
          <w:szCs w:val="22"/>
        </w:rPr>
        <w:t>Panel guiding Questions</w:t>
      </w:r>
    </w:p>
    <w:p w14:paraId="521D8BFD" w14:textId="77777777" w:rsidR="00DC4679" w:rsidRPr="002175CE" w:rsidRDefault="00DC4679" w:rsidP="00423503">
      <w:pPr>
        <w:pStyle w:val="ListParagraph"/>
        <w:numPr>
          <w:ilvl w:val="0"/>
          <w:numId w:val="24"/>
        </w:numPr>
        <w:spacing w:after="120" w:line="480" w:lineRule="auto"/>
        <w:jc w:val="both"/>
        <w:rPr>
          <w:rFonts w:ascii="Maiandra GD" w:eastAsia="Times New Roman" w:hAnsi="Maiandra GD" w:cs="Times New Roman"/>
          <w:kern w:val="0"/>
          <w:sz w:val="22"/>
          <w:szCs w:val="22"/>
          <w14:ligatures w14:val="none"/>
        </w:rPr>
      </w:pPr>
      <w:r w:rsidRPr="002175CE">
        <w:rPr>
          <w:rFonts w:ascii="Maiandra GD" w:eastAsia="Times New Roman" w:hAnsi="Maiandra GD" w:cs="Times New Roman"/>
          <w:kern w:val="0"/>
          <w:sz w:val="22"/>
          <w:szCs w:val="22"/>
          <w14:ligatures w14:val="none"/>
        </w:rPr>
        <w:t xml:space="preserve">What does harmonisation of qualifications frameworks mean in practice, and how does it differ from standardisation? </w:t>
      </w:r>
      <w:r w:rsidRPr="002175CE">
        <w:rPr>
          <w:rFonts w:ascii="Maiandra GD" w:eastAsia="Times New Roman" w:hAnsi="Maiandra GD" w:cs="Times New Roman"/>
          <w:i/>
          <w:kern w:val="0"/>
          <w:sz w:val="22"/>
          <w:szCs w:val="22"/>
          <w14:ligatures w14:val="none"/>
        </w:rPr>
        <w:t>(Frame and open discussion – Moderator Dr. David Katiambo, State Department for Diaspora Affairs)</w:t>
      </w:r>
    </w:p>
    <w:p w14:paraId="02E4D6DC" w14:textId="77777777" w:rsidR="00DC4679" w:rsidRPr="002175CE" w:rsidRDefault="00DC4679" w:rsidP="00423503">
      <w:pPr>
        <w:pStyle w:val="ListParagraph"/>
        <w:numPr>
          <w:ilvl w:val="0"/>
          <w:numId w:val="24"/>
        </w:numPr>
        <w:spacing w:after="120" w:line="480" w:lineRule="auto"/>
        <w:jc w:val="both"/>
        <w:rPr>
          <w:rFonts w:ascii="Maiandra GD" w:eastAsia="Times New Roman" w:hAnsi="Maiandra GD" w:cs="Times New Roman"/>
          <w:kern w:val="0"/>
          <w:sz w:val="22"/>
          <w:szCs w:val="22"/>
          <w14:ligatures w14:val="none"/>
        </w:rPr>
      </w:pPr>
      <w:r w:rsidRPr="002175CE">
        <w:rPr>
          <w:rFonts w:ascii="Maiandra GD" w:hAnsi="Maiandra GD"/>
          <w:sz w:val="22"/>
          <w:szCs w:val="22"/>
        </w:rPr>
        <w:t>How is the African Union shaping the future of skills development and how do the existing initiatives unlock harmonisation and labour mobility across Africa?</w:t>
      </w:r>
      <w:r w:rsidRPr="002175CE">
        <w:rPr>
          <w:rFonts w:ascii="Maiandra GD" w:eastAsia="Times New Roman" w:hAnsi="Maiandra GD" w:cs="Times New Roman"/>
          <w:kern w:val="0"/>
          <w:sz w:val="22"/>
          <w:szCs w:val="22"/>
          <w14:ligatures w14:val="none"/>
        </w:rPr>
        <w:t xml:space="preserve">? </w:t>
      </w:r>
      <w:bookmarkStart w:id="0" w:name="_Hlk227706221"/>
      <w:r w:rsidRPr="002175CE">
        <w:rPr>
          <w:rFonts w:ascii="Maiandra GD" w:eastAsia="Times New Roman" w:hAnsi="Maiandra GD" w:cs="Times New Roman"/>
          <w:i/>
          <w:kern w:val="0"/>
          <w:sz w:val="22"/>
          <w:szCs w:val="22"/>
          <w14:ligatures w14:val="none"/>
        </w:rPr>
        <w:t xml:space="preserve">(Addressed to: </w:t>
      </w:r>
      <w:r w:rsidRPr="002175CE">
        <w:rPr>
          <w:rFonts w:ascii="Maiandra GD" w:hAnsi="Maiandra GD" w:cs="Times New Roman"/>
          <w:bCs/>
          <w:i/>
          <w:sz w:val="22"/>
          <w:szCs w:val="22"/>
        </w:rPr>
        <w:t>Panelist: Nicholas Ouma)</w:t>
      </w:r>
      <w:bookmarkEnd w:id="0"/>
    </w:p>
    <w:p w14:paraId="5D32F15E" w14:textId="77777777" w:rsidR="0079717B" w:rsidRPr="002175CE" w:rsidRDefault="0079717B" w:rsidP="0079717B">
      <w:pPr>
        <w:pStyle w:val="ListParagraph"/>
        <w:numPr>
          <w:ilvl w:val="0"/>
          <w:numId w:val="24"/>
        </w:numPr>
        <w:spacing w:after="120" w:line="480" w:lineRule="auto"/>
        <w:jc w:val="both"/>
        <w:rPr>
          <w:rFonts w:ascii="Maiandra GD" w:eastAsia="Times New Roman" w:hAnsi="Maiandra GD" w:cs="Times New Roman"/>
          <w:i/>
          <w:kern w:val="0"/>
          <w:sz w:val="22"/>
          <w:szCs w:val="22"/>
          <w14:ligatures w14:val="none"/>
        </w:rPr>
      </w:pPr>
      <w:r w:rsidRPr="002175CE">
        <w:rPr>
          <w:rFonts w:ascii="Maiandra GD" w:eastAsia="Times New Roman" w:hAnsi="Maiandra GD" w:cs="Times New Roman"/>
          <w:kern w:val="0"/>
          <w:sz w:val="22"/>
          <w:szCs w:val="22"/>
          <w14:ligatures w14:val="none"/>
        </w:rPr>
        <w:t>What role do digital credentials, qualifications registers, and data systems play in enabling global verification and mobility?</w:t>
      </w:r>
      <w:r w:rsidRPr="002175CE">
        <w:rPr>
          <w:rFonts w:ascii="Maiandra GD" w:eastAsia="Times New Roman" w:hAnsi="Maiandra GD" w:cs="Times New Roman"/>
          <w:i/>
          <w:kern w:val="0"/>
          <w:sz w:val="22"/>
          <w:szCs w:val="22"/>
          <w14:ligatures w14:val="none"/>
        </w:rPr>
        <w:t xml:space="preserve"> (Addressed to CEO – KNATCOM (UNESCO National Commission))</w:t>
      </w:r>
    </w:p>
    <w:p w14:paraId="20135638" w14:textId="77777777" w:rsidR="00DC4679" w:rsidRPr="002175CE" w:rsidRDefault="00DC4679" w:rsidP="00423503">
      <w:pPr>
        <w:pStyle w:val="ListParagraph"/>
        <w:numPr>
          <w:ilvl w:val="0"/>
          <w:numId w:val="24"/>
        </w:numPr>
        <w:spacing w:after="120" w:line="480" w:lineRule="auto"/>
        <w:jc w:val="both"/>
        <w:rPr>
          <w:rFonts w:ascii="Maiandra GD" w:eastAsia="Times New Roman" w:hAnsi="Maiandra GD" w:cs="Times New Roman"/>
          <w:kern w:val="0"/>
          <w:sz w:val="22"/>
          <w:szCs w:val="22"/>
          <w14:ligatures w14:val="none"/>
        </w:rPr>
      </w:pPr>
      <w:r w:rsidRPr="002175CE">
        <w:rPr>
          <w:rFonts w:ascii="Maiandra GD" w:hAnsi="Maiandra GD"/>
          <w:sz w:val="22"/>
          <w:szCs w:val="22"/>
        </w:rPr>
        <w:t xml:space="preserve">What are the priority areas for the future of work and youth skills </w:t>
      </w:r>
      <w:r w:rsidRPr="002175CE">
        <w:rPr>
          <w:rFonts w:ascii="Maiandra GD" w:hAnsi="Maiandra GD"/>
          <w:i/>
          <w:sz w:val="22"/>
          <w:szCs w:val="22"/>
        </w:rPr>
        <w:t xml:space="preserve">(Addressed to: </w:t>
      </w:r>
      <w:r w:rsidRPr="002175CE">
        <w:rPr>
          <w:rFonts w:ascii="Maiandra GD" w:hAnsi="Maiandra GD"/>
          <w:bCs/>
          <w:i/>
          <w:sz w:val="22"/>
          <w:szCs w:val="22"/>
        </w:rPr>
        <w:t>Panelist: Nicholas Ouma)</w:t>
      </w:r>
    </w:p>
    <w:p w14:paraId="3492CEF4" w14:textId="77777777" w:rsidR="00DC4679" w:rsidRPr="00B366AD" w:rsidRDefault="00DC4679" w:rsidP="00423503">
      <w:pPr>
        <w:pStyle w:val="ListParagraph"/>
        <w:numPr>
          <w:ilvl w:val="0"/>
          <w:numId w:val="24"/>
        </w:numPr>
        <w:spacing w:after="120" w:line="480" w:lineRule="auto"/>
        <w:jc w:val="both"/>
        <w:rPr>
          <w:rFonts w:ascii="Maiandra GD" w:eastAsia="Times New Roman" w:hAnsi="Maiandra GD" w:cs="Times New Roman"/>
          <w:i/>
          <w:kern w:val="0"/>
          <w:sz w:val="22"/>
          <w:szCs w:val="22"/>
          <w14:ligatures w14:val="none"/>
        </w:rPr>
      </w:pPr>
      <w:r w:rsidRPr="002175CE">
        <w:rPr>
          <w:rFonts w:ascii="Maiandra GD" w:eastAsia="Times New Roman" w:hAnsi="Maiandra GD" w:cs="Times New Roman"/>
          <w:kern w:val="0"/>
          <w:sz w:val="22"/>
          <w:szCs w:val="22"/>
          <w14:ligatures w14:val="none"/>
        </w:rPr>
        <w:t xml:space="preserve">What lessons can be drawn from existing international frameworks in building trust and cooperation across diverse systems? </w:t>
      </w:r>
      <w:r w:rsidRPr="002175CE">
        <w:rPr>
          <w:rFonts w:ascii="Maiandra GD" w:eastAsia="Times New Roman" w:hAnsi="Maiandra GD" w:cs="Times New Roman"/>
          <w:i/>
          <w:kern w:val="0"/>
          <w:sz w:val="22"/>
          <w:szCs w:val="22"/>
          <w14:ligatures w14:val="none"/>
        </w:rPr>
        <w:t xml:space="preserve">(Addressed to </w:t>
      </w:r>
      <w:r w:rsidRPr="002175CE">
        <w:rPr>
          <w:rFonts w:ascii="Maiandra GD" w:hAnsi="Maiandra GD" w:cs="Times New Roman"/>
          <w:bCs/>
          <w:i/>
          <w:sz w:val="22"/>
          <w:szCs w:val="22"/>
        </w:rPr>
        <w:t>CEO – KNATCOM (UNESCO National Commission))</w:t>
      </w:r>
      <w:r w:rsidRPr="00797FE9">
        <w:rPr>
          <w:rFonts w:ascii="Maiandra GD" w:eastAsia="Times New Roman" w:hAnsi="Maiandra GD" w:cs="Times New Roman"/>
          <w:kern w:val="0"/>
          <w:sz w:val="22"/>
          <w:szCs w:val="22"/>
          <w14:ligatures w14:val="none"/>
        </w:rPr>
        <w:t xml:space="preserve"> </w:t>
      </w:r>
    </w:p>
    <w:p w14:paraId="7F1A3EFA" w14:textId="77777777" w:rsidR="00DC4679" w:rsidRPr="00420AAA" w:rsidRDefault="00DC4679" w:rsidP="00423503">
      <w:pPr>
        <w:pStyle w:val="ListParagraph"/>
        <w:numPr>
          <w:ilvl w:val="0"/>
          <w:numId w:val="24"/>
        </w:numPr>
        <w:spacing w:after="120" w:line="480" w:lineRule="auto"/>
        <w:jc w:val="both"/>
        <w:rPr>
          <w:rFonts w:ascii="Maiandra GD" w:eastAsia="Times New Roman" w:hAnsi="Maiandra GD" w:cs="Times New Roman"/>
          <w:kern w:val="0"/>
          <w:sz w:val="22"/>
          <w:szCs w:val="22"/>
          <w14:ligatures w14:val="none"/>
        </w:rPr>
      </w:pPr>
      <w:r w:rsidRPr="00B366AD">
        <w:rPr>
          <w:rFonts w:ascii="Maiandra GD" w:eastAsia="Times New Roman" w:hAnsi="Maiandra GD" w:cs="Times New Roman"/>
          <w:kern w:val="0"/>
          <w:sz w:val="22"/>
          <w:szCs w:val="22"/>
          <w14:ligatures w14:val="none"/>
        </w:rPr>
        <w:t>How can African countries leverage lessons from global and continental qualifications frameworks to practically advance harmonisation—through aligned standards, quality assurance systems, and recognition mechanisms—while strengthening mobility, trust, and international comparability of qualifications?</w:t>
      </w:r>
      <w:r>
        <w:rPr>
          <w:rFonts w:ascii="Maiandra GD" w:eastAsia="Times New Roman" w:hAnsi="Maiandra GD" w:cs="Times New Roman"/>
          <w:kern w:val="0"/>
          <w:sz w:val="22"/>
          <w:szCs w:val="22"/>
          <w14:ligatures w14:val="none"/>
        </w:rPr>
        <w:t xml:space="preserve"> </w:t>
      </w:r>
      <w:r w:rsidRPr="00AE4BED">
        <w:rPr>
          <w:rFonts w:ascii="Maiandra GD" w:eastAsia="Times New Roman" w:hAnsi="Maiandra GD" w:cs="Times New Roman"/>
          <w:i/>
          <w:kern w:val="0"/>
          <w:sz w:val="22"/>
          <w:szCs w:val="22"/>
          <w14:ligatures w14:val="none"/>
        </w:rPr>
        <w:t xml:space="preserve">(Addressed to Lead Presenter: </w:t>
      </w:r>
      <w:r w:rsidRPr="00AE4BED">
        <w:rPr>
          <w:i/>
        </w:rPr>
        <w:t>Prof. Massamba Diouf)</w:t>
      </w:r>
    </w:p>
    <w:p w14:paraId="2CEF02F2" w14:textId="77777777" w:rsidR="00DC4679" w:rsidRPr="00B366AD" w:rsidRDefault="00DC4679" w:rsidP="00423503">
      <w:pPr>
        <w:pStyle w:val="ListParagraph"/>
        <w:numPr>
          <w:ilvl w:val="0"/>
          <w:numId w:val="24"/>
        </w:numPr>
        <w:spacing w:after="120" w:line="480" w:lineRule="auto"/>
        <w:jc w:val="both"/>
        <w:rPr>
          <w:rFonts w:ascii="Maiandra GD" w:eastAsia="Times New Roman" w:hAnsi="Maiandra GD" w:cs="Times New Roman"/>
          <w:kern w:val="0"/>
          <w:sz w:val="22"/>
          <w:szCs w:val="22"/>
          <w14:ligatures w14:val="none"/>
        </w:rPr>
      </w:pPr>
      <w:r w:rsidRPr="00B366AD">
        <w:rPr>
          <w:rFonts w:ascii="Maiandra GD" w:eastAsia="Times New Roman" w:hAnsi="Maiandra GD" w:cs="Times New Roman"/>
          <w:kern w:val="0"/>
          <w:sz w:val="22"/>
          <w:szCs w:val="22"/>
          <w14:ligatures w14:val="none"/>
        </w:rPr>
        <w:t xml:space="preserve">How can Kenya strategically position the KNQF within regional and global systems to enhance competitiveness and mobility? </w:t>
      </w:r>
      <w:r w:rsidRPr="00B366AD">
        <w:rPr>
          <w:rFonts w:ascii="Maiandra GD" w:eastAsia="Times New Roman" w:hAnsi="Maiandra GD" w:cs="Times New Roman"/>
          <w:i/>
          <w:kern w:val="0"/>
          <w:sz w:val="22"/>
          <w:szCs w:val="22"/>
          <w14:ligatures w14:val="none"/>
        </w:rPr>
        <w:t>(Directed to all panelists – synthesis question led by Moderator)</w:t>
      </w:r>
    </w:p>
    <w:p w14:paraId="33E47C43" w14:textId="77777777" w:rsidR="00423503" w:rsidRDefault="00423503" w:rsidP="00423503">
      <w:pPr>
        <w:pStyle w:val="Heading1"/>
        <w:spacing w:before="200" w:line="360" w:lineRule="auto"/>
        <w:ind w:left="720"/>
        <w:jc w:val="both"/>
        <w:rPr>
          <w:rFonts w:ascii="Maiandra GD" w:hAnsi="Maiandra GD" w:cs="Times New Roman"/>
          <w:b/>
          <w:bCs/>
          <w:sz w:val="22"/>
          <w:szCs w:val="22"/>
        </w:rPr>
      </w:pPr>
    </w:p>
    <w:p w14:paraId="7B8111AF" w14:textId="6DCEDC40" w:rsidR="00DC4679" w:rsidRPr="00785B98" w:rsidRDefault="00DC4679" w:rsidP="00FB4968">
      <w:pPr>
        <w:pStyle w:val="Heading1"/>
        <w:numPr>
          <w:ilvl w:val="0"/>
          <w:numId w:val="9"/>
        </w:numPr>
        <w:spacing w:before="200" w:line="360" w:lineRule="auto"/>
        <w:ind w:left="720"/>
        <w:jc w:val="both"/>
        <w:rPr>
          <w:rFonts w:ascii="Maiandra GD" w:hAnsi="Maiandra GD" w:cs="Times New Roman"/>
          <w:b/>
          <w:bCs/>
          <w:sz w:val="22"/>
          <w:szCs w:val="22"/>
        </w:rPr>
      </w:pPr>
      <w:r w:rsidRPr="00785B98">
        <w:rPr>
          <w:rFonts w:ascii="Maiandra GD" w:hAnsi="Maiandra GD" w:cs="Times New Roman"/>
          <w:b/>
          <w:bCs/>
          <w:sz w:val="22"/>
          <w:szCs w:val="22"/>
        </w:rPr>
        <w:t>Suggested Moderator Framing</w:t>
      </w:r>
    </w:p>
    <w:p w14:paraId="21907085" w14:textId="77777777" w:rsidR="00DC4679" w:rsidRPr="00785B98" w:rsidRDefault="00DC4679" w:rsidP="00FB4968">
      <w:pPr>
        <w:shd w:val="clear" w:color="auto" w:fill="DEEAF6" w:themeFill="accent5" w:themeFillTint="33"/>
        <w:spacing w:after="0" w:line="360" w:lineRule="auto"/>
        <w:jc w:val="both"/>
        <w:rPr>
          <w:rFonts w:ascii="Maiandra GD" w:eastAsiaTheme="minorEastAsia" w:hAnsi="Maiandra GD" w:cs="Tahoma"/>
          <w:b/>
          <w:bCs/>
          <w:color w:val="28435D"/>
          <w:kern w:val="0"/>
          <w14:ligatures w14:val="none"/>
        </w:rPr>
      </w:pPr>
      <w:r w:rsidRPr="00785B98">
        <w:rPr>
          <w:rFonts w:ascii="Maiandra GD" w:eastAsiaTheme="minorEastAsia" w:hAnsi="Maiandra GD" w:cs="Tahoma"/>
          <w:b/>
          <w:bCs/>
          <w:color w:val="28435D"/>
          <w:kern w:val="0"/>
          <w14:ligatures w14:val="none"/>
        </w:rPr>
        <w:t>If qualifications frameworks are to support real mobility, recognition, and global collaboration, what does it take in practice to move from parallel national systems to aligned, trusted, and interoperable frameworks that enable learners and workers to move seamlessly across borders?</w:t>
      </w:r>
    </w:p>
    <w:p w14:paraId="3D39613A" w14:textId="77777777" w:rsidR="00DC4679" w:rsidRPr="00785B98" w:rsidRDefault="00DC4679" w:rsidP="00FB4968">
      <w:pPr>
        <w:pStyle w:val="Heading1"/>
        <w:spacing w:before="0" w:line="360" w:lineRule="auto"/>
        <w:ind w:left="360"/>
        <w:jc w:val="both"/>
        <w:rPr>
          <w:rFonts w:ascii="Maiandra GD" w:hAnsi="Maiandra GD" w:cs="Times New Roman"/>
          <w:b/>
          <w:bCs/>
          <w:sz w:val="22"/>
          <w:szCs w:val="22"/>
        </w:rPr>
      </w:pPr>
    </w:p>
    <w:p w14:paraId="7356D9BC" w14:textId="77777777" w:rsidR="00DC4679" w:rsidRPr="00785B98" w:rsidRDefault="00DC4679" w:rsidP="00FB4968">
      <w:pPr>
        <w:pStyle w:val="Heading1"/>
        <w:numPr>
          <w:ilvl w:val="0"/>
          <w:numId w:val="9"/>
        </w:numPr>
        <w:spacing w:before="200" w:line="360" w:lineRule="auto"/>
        <w:ind w:left="720"/>
        <w:jc w:val="both"/>
        <w:rPr>
          <w:rFonts w:ascii="Maiandra GD" w:hAnsi="Maiandra GD" w:cs="Times New Roman"/>
          <w:b/>
          <w:bCs/>
          <w:sz w:val="22"/>
          <w:szCs w:val="22"/>
        </w:rPr>
      </w:pPr>
      <w:r w:rsidRPr="00785B98">
        <w:rPr>
          <w:rFonts w:ascii="Maiandra GD" w:hAnsi="Maiandra GD" w:cs="Times New Roman"/>
          <w:b/>
          <w:bCs/>
          <w:sz w:val="22"/>
          <w:szCs w:val="22"/>
        </w:rPr>
        <w:t>Key Closing Message</w:t>
      </w:r>
    </w:p>
    <w:p w14:paraId="65EBF655" w14:textId="77777777" w:rsidR="00DC4679" w:rsidRPr="00785B98" w:rsidRDefault="00DC4679" w:rsidP="00FB4968">
      <w:pPr>
        <w:spacing w:before="40" w:after="40" w:line="360" w:lineRule="auto"/>
        <w:ind w:left="360" w:right="288"/>
        <w:jc w:val="both"/>
        <w:rPr>
          <w:rFonts w:ascii="Maiandra GD" w:eastAsiaTheme="minorEastAsia" w:hAnsi="Maiandra GD"/>
          <w:i/>
          <w:color w:val="2E4C64"/>
          <w:kern w:val="0"/>
          <w14:ligatures w14:val="none"/>
        </w:rPr>
      </w:pPr>
      <w:r>
        <w:rPr>
          <w:rFonts w:ascii="Maiandra GD" w:eastAsiaTheme="minorEastAsia" w:hAnsi="Maiandra GD"/>
          <w:i/>
          <w:color w:val="2E4C64"/>
          <w:kern w:val="0"/>
          <w14:ligatures w14:val="none"/>
        </w:rPr>
        <w:t>“</w:t>
      </w:r>
      <w:r w:rsidRPr="00785B98">
        <w:rPr>
          <w:rFonts w:ascii="Maiandra GD" w:eastAsiaTheme="minorEastAsia" w:hAnsi="Maiandra GD"/>
          <w:i/>
          <w:color w:val="2E4C64"/>
          <w:kern w:val="0"/>
          <w14:ligatures w14:val="none"/>
        </w:rPr>
        <w:t>Harmonisation is not about making qualifications systems identical—it is about making them understandable, comparable, and trusted. A strong qualifications framework does not only serve national needs; it positions a country within a global ecosystem of learning, skills, and opportunity.</w:t>
      </w:r>
    </w:p>
    <w:p w14:paraId="28561098" w14:textId="77777777" w:rsidR="00DC4679" w:rsidRPr="00785B98" w:rsidRDefault="00DC4679" w:rsidP="00FB4968">
      <w:pPr>
        <w:spacing w:before="40" w:after="40" w:line="360" w:lineRule="auto"/>
        <w:ind w:left="360" w:right="288"/>
        <w:jc w:val="both"/>
        <w:rPr>
          <w:rFonts w:ascii="Maiandra GD" w:eastAsiaTheme="minorEastAsia" w:hAnsi="Maiandra GD"/>
          <w:i/>
          <w:color w:val="2E4C64"/>
          <w:kern w:val="0"/>
          <w14:ligatures w14:val="none"/>
        </w:rPr>
      </w:pPr>
      <w:r w:rsidRPr="00785B98">
        <w:rPr>
          <w:rFonts w:ascii="Maiandra GD" w:eastAsiaTheme="minorEastAsia" w:hAnsi="Maiandra GD"/>
          <w:i/>
          <w:color w:val="2E4C64"/>
          <w:kern w:val="0"/>
          <w14:ligatures w14:val="none"/>
        </w:rPr>
        <w:t>If Kenya is to fully realise the benefits of mobility, employability, and international collaboration, the KNQF must continue to evolve as a transparent, quality-assured, and globally aligned system—capable of connecting skills to opportunities not just nationally, but across Africa and the world.</w:t>
      </w:r>
      <w:r>
        <w:rPr>
          <w:rFonts w:ascii="Maiandra GD" w:eastAsiaTheme="minorEastAsia" w:hAnsi="Maiandra GD"/>
          <w:i/>
          <w:color w:val="2E4C64"/>
          <w:kern w:val="0"/>
          <w14:ligatures w14:val="none"/>
        </w:rPr>
        <w:t>”</w:t>
      </w:r>
    </w:p>
    <w:sectPr w:rsidR="00DC4679" w:rsidRPr="00785B98" w:rsidSect="00DC4679">
      <w:footerReference w:type="default" r:id="rId7"/>
      <w:pgSz w:w="11909" w:h="16834" w:code="9"/>
      <w:pgMar w:top="1008" w:right="1008" w:bottom="1008"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34DD4" w14:textId="77777777" w:rsidR="0074730C" w:rsidRDefault="0074730C">
      <w:pPr>
        <w:spacing w:after="0" w:line="240" w:lineRule="auto"/>
      </w:pPr>
      <w:r>
        <w:separator/>
      </w:r>
    </w:p>
  </w:endnote>
  <w:endnote w:type="continuationSeparator" w:id="0">
    <w:p w14:paraId="4A614E6A" w14:textId="77777777" w:rsidR="0074730C" w:rsidRDefault="00747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732585"/>
      <w:docPartObj>
        <w:docPartGallery w:val="Page Numbers (Bottom of Page)"/>
        <w:docPartUnique/>
      </w:docPartObj>
    </w:sdtPr>
    <w:sdtEndPr>
      <w:rPr>
        <w:sz w:val="20"/>
        <w:szCs w:val="20"/>
      </w:rPr>
    </w:sdtEndPr>
    <w:sdtContent>
      <w:p w14:paraId="5D60C68D" w14:textId="464AB9FD" w:rsidR="00DC4679" w:rsidRPr="00F76C57" w:rsidRDefault="00DC4679" w:rsidP="00F76C57">
        <w:pPr>
          <w:pStyle w:val="Subtitle"/>
          <w:jc w:val="center"/>
          <w:rPr>
            <w:rFonts w:ascii="Maiandra GD" w:hAnsi="Maiandra GD" w:cs="Tahoma"/>
            <w:sz w:val="20"/>
            <w:szCs w:val="20"/>
          </w:rPr>
        </w:pPr>
        <w:r w:rsidRPr="000721E5">
          <w:rPr>
            <w:rFonts w:ascii="Maiandra GD" w:hAnsi="Maiandra GD" w:cs="Tahoma"/>
            <w:sz w:val="20"/>
            <w:szCs w:val="20"/>
          </w:rPr>
          <w:t>Panel I</w:t>
        </w:r>
        <w:r w:rsidR="00C72970">
          <w:rPr>
            <w:rFonts w:ascii="Maiandra GD" w:hAnsi="Maiandra GD" w:cs="Tahoma"/>
            <w:sz w:val="20"/>
            <w:szCs w:val="20"/>
          </w:rPr>
          <w:t>II</w:t>
        </w:r>
        <w:r w:rsidRPr="000721E5">
          <w:rPr>
            <w:rFonts w:ascii="Maiandra GD" w:hAnsi="Maiandra GD" w:cs="Tahoma"/>
            <w:sz w:val="20"/>
            <w:szCs w:val="20"/>
          </w:rPr>
          <w:t xml:space="preserve"> for the 1st National Qualifications Conference 2026</w:t>
        </w:r>
        <w:r w:rsidRPr="000721E5">
          <w:rPr>
            <w:rFonts w:ascii="Maiandra GD" w:hAnsi="Maiandra GD" w:cs="Tahoma"/>
            <w:sz w:val="20"/>
            <w:szCs w:val="20"/>
          </w:rPr>
          <w:tab/>
        </w:r>
        <w:r>
          <w:rPr>
            <w:rFonts w:ascii="Maiandra GD" w:hAnsi="Maiandra GD" w:cs="Tahoma"/>
            <w:sz w:val="20"/>
            <w:szCs w:val="20"/>
          </w:rPr>
          <w:tab/>
        </w:r>
        <w:r>
          <w:rPr>
            <w:rFonts w:ascii="Maiandra GD" w:hAnsi="Maiandra GD" w:cs="Tahoma"/>
            <w:sz w:val="20"/>
            <w:szCs w:val="20"/>
          </w:rPr>
          <w:tab/>
        </w:r>
        <w:r w:rsidRPr="000721E5">
          <w:rPr>
            <w:rFonts w:ascii="Maiandra GD" w:hAnsi="Maiandra GD" w:cs="Tahoma"/>
            <w:sz w:val="20"/>
            <w:szCs w:val="20"/>
          </w:rPr>
          <w:tab/>
        </w:r>
        <w:r w:rsidRPr="000721E5">
          <w:rPr>
            <w:sz w:val="20"/>
            <w:szCs w:val="20"/>
          </w:rPr>
          <w:t xml:space="preserve">Page | </w:t>
        </w:r>
        <w:r w:rsidRPr="000721E5">
          <w:rPr>
            <w:sz w:val="20"/>
            <w:szCs w:val="20"/>
          </w:rPr>
          <w:fldChar w:fldCharType="begin"/>
        </w:r>
        <w:r w:rsidRPr="000721E5">
          <w:rPr>
            <w:sz w:val="20"/>
            <w:szCs w:val="20"/>
          </w:rPr>
          <w:instrText xml:space="preserve"> PAGE   \* MERGEFORMAT </w:instrText>
        </w:r>
        <w:r w:rsidRPr="000721E5">
          <w:rPr>
            <w:sz w:val="20"/>
            <w:szCs w:val="20"/>
          </w:rPr>
          <w:fldChar w:fldCharType="separate"/>
        </w:r>
        <w:r w:rsidRPr="000721E5">
          <w:rPr>
            <w:noProof/>
            <w:sz w:val="20"/>
            <w:szCs w:val="20"/>
          </w:rPr>
          <w:t>2</w:t>
        </w:r>
        <w:r w:rsidRPr="000721E5">
          <w:rPr>
            <w:noProof/>
            <w:sz w:val="20"/>
            <w:szCs w:val="20"/>
          </w:rPr>
          <w:fldChar w:fldCharType="end"/>
        </w:r>
        <w:r w:rsidRPr="000721E5">
          <w:rPr>
            <w:sz w:val="20"/>
            <w:szCs w:val="20"/>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EF4D5" w14:textId="77777777" w:rsidR="0074730C" w:rsidRDefault="0074730C">
      <w:pPr>
        <w:spacing w:after="0" w:line="240" w:lineRule="auto"/>
      </w:pPr>
      <w:r>
        <w:separator/>
      </w:r>
    </w:p>
  </w:footnote>
  <w:footnote w:type="continuationSeparator" w:id="0">
    <w:p w14:paraId="46FE2F90" w14:textId="77777777" w:rsidR="0074730C" w:rsidRDefault="007473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ACADDE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B6B0EF2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DC62A0"/>
    <w:multiLevelType w:val="hybridMultilevel"/>
    <w:tmpl w:val="BBA4329C"/>
    <w:lvl w:ilvl="0" w:tplc="E18E7F14">
      <w:start w:val="1"/>
      <w:numFmt w:val="lowerRoman"/>
      <w:suff w:val="space"/>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C5234"/>
    <w:multiLevelType w:val="hybridMultilevel"/>
    <w:tmpl w:val="92FC34C0"/>
    <w:lvl w:ilvl="0" w:tplc="698465E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C203D3"/>
    <w:multiLevelType w:val="hybridMultilevel"/>
    <w:tmpl w:val="B7AA93B8"/>
    <w:lvl w:ilvl="0" w:tplc="78D4E2D4">
      <w:start w:val="1"/>
      <w:numFmt w:val="lowerRoman"/>
      <w:lvlText w:val="%1."/>
      <w:lvlJc w:val="right"/>
      <w:pPr>
        <w:ind w:left="1080" w:hanging="360"/>
      </w:pPr>
      <w:rPr>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3646CB"/>
    <w:multiLevelType w:val="hybridMultilevel"/>
    <w:tmpl w:val="17A20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3567C5"/>
    <w:multiLevelType w:val="hybridMultilevel"/>
    <w:tmpl w:val="FC1A235E"/>
    <w:lvl w:ilvl="0" w:tplc="698465E0">
      <w:start w:val="1"/>
      <w:numFmt w:val="lowerRoman"/>
      <w:lvlText w:val="%1)"/>
      <w:lvlJc w:val="left"/>
      <w:pPr>
        <w:ind w:left="360" w:hanging="360"/>
      </w:pPr>
      <w:rPr>
        <w:rFonts w:hint="default"/>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1AF14B7D"/>
    <w:multiLevelType w:val="multilevel"/>
    <w:tmpl w:val="69B01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31B6CDC"/>
    <w:multiLevelType w:val="multilevel"/>
    <w:tmpl w:val="53462822"/>
    <w:lvl w:ilvl="0">
      <w:start w:val="1"/>
      <w:numFmt w:val="lowerRoman"/>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94C0958"/>
    <w:multiLevelType w:val="hybridMultilevel"/>
    <w:tmpl w:val="6602EF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A0195F"/>
    <w:multiLevelType w:val="hybridMultilevel"/>
    <w:tmpl w:val="18E425F0"/>
    <w:lvl w:ilvl="0" w:tplc="E78EE9C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BB43303"/>
    <w:multiLevelType w:val="hybridMultilevel"/>
    <w:tmpl w:val="666E2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3C7D4C"/>
    <w:multiLevelType w:val="hybridMultilevel"/>
    <w:tmpl w:val="CE1EEB88"/>
    <w:lvl w:ilvl="0" w:tplc="E1AAFCCC">
      <w:start w:val="1"/>
      <w:numFmt w:val="lowerRoman"/>
      <w:suff w:val="space"/>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65D25FD"/>
    <w:multiLevelType w:val="hybridMultilevel"/>
    <w:tmpl w:val="25DCE4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96381A"/>
    <w:multiLevelType w:val="hybridMultilevel"/>
    <w:tmpl w:val="464098E6"/>
    <w:lvl w:ilvl="0" w:tplc="3D64A404">
      <w:start w:val="1"/>
      <w:numFmt w:val="lowerRoman"/>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3125DE"/>
    <w:multiLevelType w:val="hybridMultilevel"/>
    <w:tmpl w:val="6102DE62"/>
    <w:lvl w:ilvl="0" w:tplc="E7E0F92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1C4658"/>
    <w:multiLevelType w:val="hybridMultilevel"/>
    <w:tmpl w:val="D9646F7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41B4578"/>
    <w:multiLevelType w:val="hybridMultilevel"/>
    <w:tmpl w:val="2BACD8C8"/>
    <w:lvl w:ilvl="0" w:tplc="0DA83534">
      <w:start w:val="1"/>
      <w:numFmt w:val="lowerRoman"/>
      <w:lvlText w:val="%1)"/>
      <w:lvlJc w:val="left"/>
      <w:pPr>
        <w:ind w:left="0" w:hanging="360"/>
      </w:pPr>
      <w:rPr>
        <w:rFonts w:hint="default"/>
        <w:color w:val="auto"/>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8" w15:restartNumberingAfterBreak="0">
    <w:nsid w:val="5F190640"/>
    <w:multiLevelType w:val="hybridMultilevel"/>
    <w:tmpl w:val="4F9A5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3A6FA9"/>
    <w:multiLevelType w:val="hybridMultilevel"/>
    <w:tmpl w:val="FE605440"/>
    <w:lvl w:ilvl="0" w:tplc="698465E0">
      <w:start w:val="1"/>
      <w:numFmt w:val="lowerRoman"/>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052456C"/>
    <w:multiLevelType w:val="hybridMultilevel"/>
    <w:tmpl w:val="FA4AAF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484603"/>
    <w:multiLevelType w:val="hybridMultilevel"/>
    <w:tmpl w:val="698A53D2"/>
    <w:lvl w:ilvl="0" w:tplc="2000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6E863EB"/>
    <w:multiLevelType w:val="hybridMultilevel"/>
    <w:tmpl w:val="AFA282AC"/>
    <w:lvl w:ilvl="0" w:tplc="96B2C54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346BC8"/>
    <w:multiLevelType w:val="hybridMultilevel"/>
    <w:tmpl w:val="DF72AE92"/>
    <w:lvl w:ilvl="0" w:tplc="698465E0">
      <w:start w:val="1"/>
      <w:numFmt w:val="lowerRoman"/>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09330257">
    <w:abstractNumId w:val="4"/>
  </w:num>
  <w:num w:numId="2" w16cid:durableId="2135978060">
    <w:abstractNumId w:val="20"/>
  </w:num>
  <w:num w:numId="3" w16cid:durableId="1228954275">
    <w:abstractNumId w:val="18"/>
  </w:num>
  <w:num w:numId="4" w16cid:durableId="894239198">
    <w:abstractNumId w:val="21"/>
  </w:num>
  <w:num w:numId="5" w16cid:durableId="12346004">
    <w:abstractNumId w:val="17"/>
  </w:num>
  <w:num w:numId="6" w16cid:durableId="2055617305">
    <w:abstractNumId w:val="10"/>
  </w:num>
  <w:num w:numId="7" w16cid:durableId="1598950558">
    <w:abstractNumId w:val="13"/>
  </w:num>
  <w:num w:numId="8" w16cid:durableId="1226599008">
    <w:abstractNumId w:val="12"/>
  </w:num>
  <w:num w:numId="9" w16cid:durableId="67923895">
    <w:abstractNumId w:val="16"/>
  </w:num>
  <w:num w:numId="10" w16cid:durableId="364253548">
    <w:abstractNumId w:val="8"/>
  </w:num>
  <w:num w:numId="11" w16cid:durableId="1625650713">
    <w:abstractNumId w:val="22"/>
  </w:num>
  <w:num w:numId="12" w16cid:durableId="2129660890">
    <w:abstractNumId w:val="3"/>
  </w:num>
  <w:num w:numId="13" w16cid:durableId="619839711">
    <w:abstractNumId w:val="1"/>
  </w:num>
  <w:num w:numId="14" w16cid:durableId="457919373">
    <w:abstractNumId w:val="0"/>
  </w:num>
  <w:num w:numId="15" w16cid:durableId="1702903615">
    <w:abstractNumId w:val="11"/>
  </w:num>
  <w:num w:numId="16" w16cid:durableId="1645239849">
    <w:abstractNumId w:val="14"/>
  </w:num>
  <w:num w:numId="17" w16cid:durableId="64645069">
    <w:abstractNumId w:val="19"/>
  </w:num>
  <w:num w:numId="18" w16cid:durableId="823620494">
    <w:abstractNumId w:val="2"/>
  </w:num>
  <w:num w:numId="19" w16cid:durableId="2107338375">
    <w:abstractNumId w:val="15"/>
  </w:num>
  <w:num w:numId="20" w16cid:durableId="644748987">
    <w:abstractNumId w:val="5"/>
  </w:num>
  <w:num w:numId="21" w16cid:durableId="90128320">
    <w:abstractNumId w:val="9"/>
  </w:num>
  <w:num w:numId="22" w16cid:durableId="1207795291">
    <w:abstractNumId w:val="23"/>
  </w:num>
  <w:num w:numId="23" w16cid:durableId="5181091">
    <w:abstractNumId w:val="7"/>
  </w:num>
  <w:num w:numId="24" w16cid:durableId="10623702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679"/>
    <w:rsid w:val="00021635"/>
    <w:rsid w:val="000252E6"/>
    <w:rsid w:val="00025AA0"/>
    <w:rsid w:val="000526B5"/>
    <w:rsid w:val="0006478B"/>
    <w:rsid w:val="00087D56"/>
    <w:rsid w:val="000A6BC9"/>
    <w:rsid w:val="000B0458"/>
    <w:rsid w:val="000B0495"/>
    <w:rsid w:val="000D03DE"/>
    <w:rsid w:val="000D2A84"/>
    <w:rsid w:val="000E5BD7"/>
    <w:rsid w:val="000E60D9"/>
    <w:rsid w:val="000F4725"/>
    <w:rsid w:val="000F6451"/>
    <w:rsid w:val="00111D8C"/>
    <w:rsid w:val="00112A65"/>
    <w:rsid w:val="00112DF9"/>
    <w:rsid w:val="00115339"/>
    <w:rsid w:val="0012241C"/>
    <w:rsid w:val="00130011"/>
    <w:rsid w:val="00135476"/>
    <w:rsid w:val="00137F22"/>
    <w:rsid w:val="00140C27"/>
    <w:rsid w:val="00152020"/>
    <w:rsid w:val="001524D3"/>
    <w:rsid w:val="00163E60"/>
    <w:rsid w:val="00163FEA"/>
    <w:rsid w:val="001647E0"/>
    <w:rsid w:val="00196A85"/>
    <w:rsid w:val="001A4644"/>
    <w:rsid w:val="001A4CD2"/>
    <w:rsid w:val="001A6BF2"/>
    <w:rsid w:val="001A6F2B"/>
    <w:rsid w:val="001D54B1"/>
    <w:rsid w:val="001D6848"/>
    <w:rsid w:val="001F28D2"/>
    <w:rsid w:val="001F595D"/>
    <w:rsid w:val="00212C3D"/>
    <w:rsid w:val="002173DE"/>
    <w:rsid w:val="00221B02"/>
    <w:rsid w:val="00267BE6"/>
    <w:rsid w:val="00281604"/>
    <w:rsid w:val="00286AE4"/>
    <w:rsid w:val="00292F76"/>
    <w:rsid w:val="00296664"/>
    <w:rsid w:val="002969EA"/>
    <w:rsid w:val="002B16F3"/>
    <w:rsid w:val="002B1D9E"/>
    <w:rsid w:val="002B30F6"/>
    <w:rsid w:val="002B54DD"/>
    <w:rsid w:val="002B7C2D"/>
    <w:rsid w:val="002D65E2"/>
    <w:rsid w:val="002D7B9D"/>
    <w:rsid w:val="002E2D22"/>
    <w:rsid w:val="002E7A6F"/>
    <w:rsid w:val="003005FE"/>
    <w:rsid w:val="003007B5"/>
    <w:rsid w:val="00302FE2"/>
    <w:rsid w:val="00305E39"/>
    <w:rsid w:val="003068BE"/>
    <w:rsid w:val="003105EB"/>
    <w:rsid w:val="00312D13"/>
    <w:rsid w:val="00315F22"/>
    <w:rsid w:val="003201C2"/>
    <w:rsid w:val="003273F2"/>
    <w:rsid w:val="003343DB"/>
    <w:rsid w:val="00335E1F"/>
    <w:rsid w:val="00336ECB"/>
    <w:rsid w:val="00344E3B"/>
    <w:rsid w:val="00344F43"/>
    <w:rsid w:val="00352105"/>
    <w:rsid w:val="00356E15"/>
    <w:rsid w:val="0037204C"/>
    <w:rsid w:val="00383EE4"/>
    <w:rsid w:val="003A259F"/>
    <w:rsid w:val="003C2781"/>
    <w:rsid w:val="003D5577"/>
    <w:rsid w:val="003D7C0A"/>
    <w:rsid w:val="003E5A84"/>
    <w:rsid w:val="003E681E"/>
    <w:rsid w:val="003E6FBD"/>
    <w:rsid w:val="003E7A58"/>
    <w:rsid w:val="003F21C0"/>
    <w:rsid w:val="003F78C9"/>
    <w:rsid w:val="004113E7"/>
    <w:rsid w:val="004117B4"/>
    <w:rsid w:val="00423503"/>
    <w:rsid w:val="00427A7C"/>
    <w:rsid w:val="00431020"/>
    <w:rsid w:val="00434777"/>
    <w:rsid w:val="00434FCF"/>
    <w:rsid w:val="00435DFD"/>
    <w:rsid w:val="004600CE"/>
    <w:rsid w:val="004656C5"/>
    <w:rsid w:val="00465A22"/>
    <w:rsid w:val="004821F1"/>
    <w:rsid w:val="00483138"/>
    <w:rsid w:val="00492AF1"/>
    <w:rsid w:val="004A021B"/>
    <w:rsid w:val="004A0281"/>
    <w:rsid w:val="004A4F41"/>
    <w:rsid w:val="004C0C5C"/>
    <w:rsid w:val="004D76BF"/>
    <w:rsid w:val="004E1873"/>
    <w:rsid w:val="004F5F69"/>
    <w:rsid w:val="00506FDA"/>
    <w:rsid w:val="005124BE"/>
    <w:rsid w:val="00516836"/>
    <w:rsid w:val="00525441"/>
    <w:rsid w:val="00542F1E"/>
    <w:rsid w:val="0054642B"/>
    <w:rsid w:val="00546728"/>
    <w:rsid w:val="00557E3F"/>
    <w:rsid w:val="005611CA"/>
    <w:rsid w:val="00563FE9"/>
    <w:rsid w:val="005974CA"/>
    <w:rsid w:val="005A0C45"/>
    <w:rsid w:val="005A1DC3"/>
    <w:rsid w:val="005A3C59"/>
    <w:rsid w:val="005C4174"/>
    <w:rsid w:val="005D14DB"/>
    <w:rsid w:val="005D328C"/>
    <w:rsid w:val="005E4595"/>
    <w:rsid w:val="005E4666"/>
    <w:rsid w:val="006076D5"/>
    <w:rsid w:val="00624643"/>
    <w:rsid w:val="00642D33"/>
    <w:rsid w:val="00644490"/>
    <w:rsid w:val="00647A53"/>
    <w:rsid w:val="0067799A"/>
    <w:rsid w:val="00693900"/>
    <w:rsid w:val="00694C35"/>
    <w:rsid w:val="006B137B"/>
    <w:rsid w:val="006B7FDC"/>
    <w:rsid w:val="006C02D5"/>
    <w:rsid w:val="006C1D8A"/>
    <w:rsid w:val="006D12EC"/>
    <w:rsid w:val="006D4DA2"/>
    <w:rsid w:val="006F719D"/>
    <w:rsid w:val="00700F56"/>
    <w:rsid w:val="00706E13"/>
    <w:rsid w:val="00706F0B"/>
    <w:rsid w:val="00716625"/>
    <w:rsid w:val="00723C06"/>
    <w:rsid w:val="00727551"/>
    <w:rsid w:val="0074730C"/>
    <w:rsid w:val="00752957"/>
    <w:rsid w:val="00757C3E"/>
    <w:rsid w:val="00762444"/>
    <w:rsid w:val="00774FE9"/>
    <w:rsid w:val="00777EF7"/>
    <w:rsid w:val="00781E77"/>
    <w:rsid w:val="0079717B"/>
    <w:rsid w:val="00797C09"/>
    <w:rsid w:val="007B25E4"/>
    <w:rsid w:val="007D19BB"/>
    <w:rsid w:val="007D450E"/>
    <w:rsid w:val="007F605D"/>
    <w:rsid w:val="007F7BC8"/>
    <w:rsid w:val="00814914"/>
    <w:rsid w:val="008217C6"/>
    <w:rsid w:val="008273EC"/>
    <w:rsid w:val="00841EBA"/>
    <w:rsid w:val="00843140"/>
    <w:rsid w:val="008465B9"/>
    <w:rsid w:val="008533BA"/>
    <w:rsid w:val="00857122"/>
    <w:rsid w:val="00870C68"/>
    <w:rsid w:val="00872411"/>
    <w:rsid w:val="008851EC"/>
    <w:rsid w:val="00894091"/>
    <w:rsid w:val="008964DA"/>
    <w:rsid w:val="008B4A64"/>
    <w:rsid w:val="008C17C8"/>
    <w:rsid w:val="008C650F"/>
    <w:rsid w:val="008D2A99"/>
    <w:rsid w:val="008E4243"/>
    <w:rsid w:val="008E557E"/>
    <w:rsid w:val="008E589D"/>
    <w:rsid w:val="008E68D4"/>
    <w:rsid w:val="008E6B11"/>
    <w:rsid w:val="008F1399"/>
    <w:rsid w:val="008F5173"/>
    <w:rsid w:val="008F7198"/>
    <w:rsid w:val="00900FE8"/>
    <w:rsid w:val="00910A8D"/>
    <w:rsid w:val="0091531F"/>
    <w:rsid w:val="00916E8D"/>
    <w:rsid w:val="00937B11"/>
    <w:rsid w:val="009619F9"/>
    <w:rsid w:val="00965C39"/>
    <w:rsid w:val="009719BC"/>
    <w:rsid w:val="0097250B"/>
    <w:rsid w:val="009861F8"/>
    <w:rsid w:val="00987CE3"/>
    <w:rsid w:val="009A6B86"/>
    <w:rsid w:val="009A7752"/>
    <w:rsid w:val="009C707F"/>
    <w:rsid w:val="009D0372"/>
    <w:rsid w:val="009D231D"/>
    <w:rsid w:val="009D6A08"/>
    <w:rsid w:val="009D6E94"/>
    <w:rsid w:val="009F6B6A"/>
    <w:rsid w:val="00A0194B"/>
    <w:rsid w:val="00A0508F"/>
    <w:rsid w:val="00A17CD1"/>
    <w:rsid w:val="00A22390"/>
    <w:rsid w:val="00A22F87"/>
    <w:rsid w:val="00A342F7"/>
    <w:rsid w:val="00A36646"/>
    <w:rsid w:val="00A4372C"/>
    <w:rsid w:val="00A47191"/>
    <w:rsid w:val="00A54B69"/>
    <w:rsid w:val="00A71742"/>
    <w:rsid w:val="00A74BA9"/>
    <w:rsid w:val="00A938A7"/>
    <w:rsid w:val="00AA0367"/>
    <w:rsid w:val="00AA73E3"/>
    <w:rsid w:val="00AA7AC1"/>
    <w:rsid w:val="00AB1EFC"/>
    <w:rsid w:val="00AB3D05"/>
    <w:rsid w:val="00AC068F"/>
    <w:rsid w:val="00AC0748"/>
    <w:rsid w:val="00AD56AC"/>
    <w:rsid w:val="00AD6947"/>
    <w:rsid w:val="00AD78AF"/>
    <w:rsid w:val="00AE1270"/>
    <w:rsid w:val="00B0435E"/>
    <w:rsid w:val="00B155DC"/>
    <w:rsid w:val="00B20A88"/>
    <w:rsid w:val="00B33260"/>
    <w:rsid w:val="00B42A2B"/>
    <w:rsid w:val="00B45F81"/>
    <w:rsid w:val="00B52B37"/>
    <w:rsid w:val="00B65686"/>
    <w:rsid w:val="00B65D82"/>
    <w:rsid w:val="00B9029A"/>
    <w:rsid w:val="00BA43E6"/>
    <w:rsid w:val="00BA7F40"/>
    <w:rsid w:val="00BB1E28"/>
    <w:rsid w:val="00BB5E7E"/>
    <w:rsid w:val="00BC7617"/>
    <w:rsid w:val="00BF69B6"/>
    <w:rsid w:val="00C05A08"/>
    <w:rsid w:val="00C1510B"/>
    <w:rsid w:val="00C17103"/>
    <w:rsid w:val="00C430FB"/>
    <w:rsid w:val="00C46723"/>
    <w:rsid w:val="00C51273"/>
    <w:rsid w:val="00C6091A"/>
    <w:rsid w:val="00C60E15"/>
    <w:rsid w:val="00C6246C"/>
    <w:rsid w:val="00C65066"/>
    <w:rsid w:val="00C72970"/>
    <w:rsid w:val="00C7323D"/>
    <w:rsid w:val="00C86AF8"/>
    <w:rsid w:val="00CA4AE8"/>
    <w:rsid w:val="00CC130D"/>
    <w:rsid w:val="00CD513B"/>
    <w:rsid w:val="00CE3791"/>
    <w:rsid w:val="00CF1225"/>
    <w:rsid w:val="00D00554"/>
    <w:rsid w:val="00D05209"/>
    <w:rsid w:val="00D21B7C"/>
    <w:rsid w:val="00D24E28"/>
    <w:rsid w:val="00D311C8"/>
    <w:rsid w:val="00D436E6"/>
    <w:rsid w:val="00D438E4"/>
    <w:rsid w:val="00D5057E"/>
    <w:rsid w:val="00D558C4"/>
    <w:rsid w:val="00D63B01"/>
    <w:rsid w:val="00D71CE4"/>
    <w:rsid w:val="00D71D3D"/>
    <w:rsid w:val="00D81802"/>
    <w:rsid w:val="00D95CA0"/>
    <w:rsid w:val="00DA2192"/>
    <w:rsid w:val="00DC3D51"/>
    <w:rsid w:val="00DC4679"/>
    <w:rsid w:val="00DC4CD3"/>
    <w:rsid w:val="00DD4CA9"/>
    <w:rsid w:val="00DD5D4A"/>
    <w:rsid w:val="00DD6698"/>
    <w:rsid w:val="00DE5C1E"/>
    <w:rsid w:val="00DF10AE"/>
    <w:rsid w:val="00DF7061"/>
    <w:rsid w:val="00E2769F"/>
    <w:rsid w:val="00E27DCB"/>
    <w:rsid w:val="00E3632C"/>
    <w:rsid w:val="00E37E3F"/>
    <w:rsid w:val="00E47E4C"/>
    <w:rsid w:val="00E50F60"/>
    <w:rsid w:val="00E60BA3"/>
    <w:rsid w:val="00E92319"/>
    <w:rsid w:val="00EA72C3"/>
    <w:rsid w:val="00EE1C44"/>
    <w:rsid w:val="00EE68BD"/>
    <w:rsid w:val="00F14182"/>
    <w:rsid w:val="00F25F5E"/>
    <w:rsid w:val="00F34631"/>
    <w:rsid w:val="00F428B3"/>
    <w:rsid w:val="00F7335D"/>
    <w:rsid w:val="00FA09A9"/>
    <w:rsid w:val="00FA2D00"/>
    <w:rsid w:val="00FB19AC"/>
    <w:rsid w:val="00FB4968"/>
    <w:rsid w:val="00FC2BFA"/>
    <w:rsid w:val="00FE5383"/>
    <w:rsid w:val="00FF0113"/>
    <w:rsid w:val="00FF4203"/>
    <w:rsid w:val="00FF7FB7"/>
    <w:rsid w:val="06389726"/>
    <w:rsid w:val="06C253A5"/>
    <w:rsid w:val="1119A1CC"/>
    <w:rsid w:val="11463E26"/>
    <w:rsid w:val="18E6BC7A"/>
    <w:rsid w:val="1CDDDFA1"/>
    <w:rsid w:val="276FC8F5"/>
    <w:rsid w:val="2A01DE87"/>
    <w:rsid w:val="2B54F279"/>
    <w:rsid w:val="2CFD6C62"/>
    <w:rsid w:val="31A81812"/>
    <w:rsid w:val="3C1A88C6"/>
    <w:rsid w:val="3E1C15D2"/>
    <w:rsid w:val="42E5882A"/>
    <w:rsid w:val="4434E896"/>
    <w:rsid w:val="44C3029F"/>
    <w:rsid w:val="45A460CF"/>
    <w:rsid w:val="472E37F5"/>
    <w:rsid w:val="48200F2B"/>
    <w:rsid w:val="4C22236A"/>
    <w:rsid w:val="4C3BE11A"/>
    <w:rsid w:val="4D2180E4"/>
    <w:rsid w:val="4EE98E97"/>
    <w:rsid w:val="51913A0C"/>
    <w:rsid w:val="5281DF93"/>
    <w:rsid w:val="53A7DDFB"/>
    <w:rsid w:val="548EED7E"/>
    <w:rsid w:val="5B332BA3"/>
    <w:rsid w:val="5F2B28DF"/>
    <w:rsid w:val="67D63D4F"/>
    <w:rsid w:val="6C1B64CF"/>
    <w:rsid w:val="7C67C233"/>
    <w:rsid w:val="7EC5C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B1A28"/>
  <w15:chartTrackingRefBased/>
  <w15:docId w15:val="{6931E083-F635-49E9-A7FE-9449EFD40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4679"/>
  </w:style>
  <w:style w:type="paragraph" w:styleId="Heading1">
    <w:name w:val="heading 1"/>
    <w:basedOn w:val="Normal"/>
    <w:next w:val="Normal"/>
    <w:link w:val="Heading1Char"/>
    <w:uiPriority w:val="9"/>
    <w:qFormat/>
    <w:rsid w:val="00DC46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C46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C46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C46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C46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C46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46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46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46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46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46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46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46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C46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C46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46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46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4679"/>
    <w:rPr>
      <w:rFonts w:eastAsiaTheme="majorEastAsia" w:cstheme="majorBidi"/>
      <w:color w:val="272727" w:themeColor="text1" w:themeTint="D8"/>
    </w:rPr>
  </w:style>
  <w:style w:type="paragraph" w:styleId="Title">
    <w:name w:val="Title"/>
    <w:basedOn w:val="Normal"/>
    <w:next w:val="Normal"/>
    <w:link w:val="TitleChar"/>
    <w:uiPriority w:val="10"/>
    <w:qFormat/>
    <w:rsid w:val="00DC46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46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46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46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4679"/>
    <w:pPr>
      <w:spacing w:before="160"/>
      <w:jc w:val="center"/>
    </w:pPr>
    <w:rPr>
      <w:i/>
      <w:iCs/>
      <w:color w:val="404040" w:themeColor="text1" w:themeTint="BF"/>
    </w:rPr>
  </w:style>
  <w:style w:type="character" w:customStyle="1" w:styleId="QuoteChar">
    <w:name w:val="Quote Char"/>
    <w:basedOn w:val="DefaultParagraphFont"/>
    <w:link w:val="Quote"/>
    <w:uiPriority w:val="29"/>
    <w:rsid w:val="00DC4679"/>
    <w:rPr>
      <w:i/>
      <w:iCs/>
      <w:color w:val="404040" w:themeColor="text1" w:themeTint="BF"/>
    </w:rPr>
  </w:style>
  <w:style w:type="paragraph" w:styleId="ListParagraph">
    <w:name w:val="List Paragraph"/>
    <w:basedOn w:val="Normal"/>
    <w:uiPriority w:val="34"/>
    <w:qFormat/>
    <w:rsid w:val="00DC4679"/>
    <w:pPr>
      <w:ind w:left="720"/>
      <w:contextualSpacing/>
    </w:pPr>
  </w:style>
  <w:style w:type="character" w:styleId="IntenseEmphasis">
    <w:name w:val="Intense Emphasis"/>
    <w:basedOn w:val="DefaultParagraphFont"/>
    <w:uiPriority w:val="21"/>
    <w:qFormat/>
    <w:rsid w:val="00DC4679"/>
    <w:rPr>
      <w:i/>
      <w:iCs/>
      <w:color w:val="2F5496" w:themeColor="accent1" w:themeShade="BF"/>
    </w:rPr>
  </w:style>
  <w:style w:type="paragraph" w:styleId="IntenseQuote">
    <w:name w:val="Intense Quote"/>
    <w:basedOn w:val="Normal"/>
    <w:next w:val="Normal"/>
    <w:link w:val="IntenseQuoteChar"/>
    <w:uiPriority w:val="30"/>
    <w:qFormat/>
    <w:rsid w:val="00DC46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4679"/>
    <w:rPr>
      <w:i/>
      <w:iCs/>
      <w:color w:val="2F5496" w:themeColor="accent1" w:themeShade="BF"/>
    </w:rPr>
  </w:style>
  <w:style w:type="character" w:styleId="IntenseReference">
    <w:name w:val="Intense Reference"/>
    <w:basedOn w:val="DefaultParagraphFont"/>
    <w:uiPriority w:val="32"/>
    <w:qFormat/>
    <w:rsid w:val="00DC4679"/>
    <w:rPr>
      <w:b/>
      <w:bCs/>
      <w:smallCaps/>
      <w:color w:val="2F5496" w:themeColor="accent1" w:themeShade="BF"/>
      <w:spacing w:val="5"/>
    </w:rPr>
  </w:style>
  <w:style w:type="table" w:styleId="TableGrid">
    <w:name w:val="Table Grid"/>
    <w:basedOn w:val="TableNormal"/>
    <w:uiPriority w:val="59"/>
    <w:rsid w:val="00DC4679"/>
    <w:pPr>
      <w:spacing w:after="0" w:line="240" w:lineRule="auto"/>
    </w:pPr>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C4679"/>
    <w:rPr>
      <w:b/>
      <w:bCs/>
    </w:rPr>
  </w:style>
  <w:style w:type="character" w:styleId="Emphasis">
    <w:name w:val="Emphasis"/>
    <w:basedOn w:val="DefaultParagraphFont"/>
    <w:uiPriority w:val="20"/>
    <w:qFormat/>
    <w:rsid w:val="00DC4679"/>
    <w:rPr>
      <w:i/>
      <w:iCs/>
    </w:rPr>
  </w:style>
  <w:style w:type="paragraph" w:styleId="NormalWeb">
    <w:name w:val="Normal (Web)"/>
    <w:basedOn w:val="Normal"/>
    <w:uiPriority w:val="99"/>
    <w:unhideWhenUsed/>
    <w:rsid w:val="00DC4679"/>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customStyle="1" w:styleId="whitespace-normal">
    <w:name w:val="whitespace-normal"/>
    <w:basedOn w:val="DefaultParagraphFont"/>
    <w:rsid w:val="00DC4679"/>
  </w:style>
  <w:style w:type="paragraph" w:styleId="ListBullet">
    <w:name w:val="List Bullet"/>
    <w:basedOn w:val="Normal"/>
    <w:uiPriority w:val="99"/>
    <w:unhideWhenUsed/>
    <w:rsid w:val="00DC4679"/>
    <w:pPr>
      <w:numPr>
        <w:numId w:val="13"/>
      </w:numPr>
      <w:tabs>
        <w:tab w:val="clear" w:pos="360"/>
      </w:tabs>
      <w:spacing w:after="80" w:line="276" w:lineRule="auto"/>
      <w:ind w:left="0" w:firstLine="0"/>
      <w:contextualSpacing/>
    </w:pPr>
    <w:rPr>
      <w:rFonts w:ascii="Aptos" w:eastAsiaTheme="minorEastAsia" w:hAnsi="Aptos"/>
      <w:kern w:val="0"/>
      <w:sz w:val="21"/>
      <w:szCs w:val="22"/>
      <w14:ligatures w14:val="none"/>
    </w:rPr>
  </w:style>
  <w:style w:type="paragraph" w:styleId="ListNumber">
    <w:name w:val="List Number"/>
    <w:basedOn w:val="Normal"/>
    <w:uiPriority w:val="99"/>
    <w:unhideWhenUsed/>
    <w:rsid w:val="00DC4679"/>
    <w:pPr>
      <w:numPr>
        <w:numId w:val="14"/>
      </w:numPr>
      <w:tabs>
        <w:tab w:val="clear" w:pos="360"/>
      </w:tabs>
      <w:spacing w:after="80" w:line="276" w:lineRule="auto"/>
      <w:ind w:left="0" w:firstLine="0"/>
      <w:contextualSpacing/>
    </w:pPr>
    <w:rPr>
      <w:rFonts w:ascii="Aptos" w:eastAsiaTheme="minorEastAsia" w:hAnsi="Aptos"/>
      <w:kern w:val="0"/>
      <w:sz w:val="21"/>
      <w:szCs w:val="22"/>
      <w14:ligatures w14:val="none"/>
    </w:rPr>
  </w:style>
  <w:style w:type="paragraph" w:styleId="NoSpacing">
    <w:name w:val="No Spacing"/>
    <w:uiPriority w:val="1"/>
    <w:qFormat/>
    <w:rsid w:val="00DC4679"/>
    <w:pPr>
      <w:spacing w:after="0" w:line="240" w:lineRule="auto"/>
    </w:pPr>
    <w:rPr>
      <w:rFonts w:eastAsiaTheme="minorEastAsia"/>
      <w:kern w:val="0"/>
      <w:sz w:val="22"/>
      <w:szCs w:val="22"/>
      <w14:ligatures w14:val="none"/>
    </w:rPr>
  </w:style>
  <w:style w:type="paragraph" w:styleId="Header">
    <w:name w:val="header"/>
    <w:basedOn w:val="Normal"/>
    <w:link w:val="HeaderChar"/>
    <w:uiPriority w:val="99"/>
    <w:unhideWhenUsed/>
    <w:rsid w:val="007B2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5E4"/>
  </w:style>
  <w:style w:type="paragraph" w:styleId="Footer">
    <w:name w:val="footer"/>
    <w:basedOn w:val="Normal"/>
    <w:link w:val="FooterChar"/>
    <w:uiPriority w:val="99"/>
    <w:unhideWhenUsed/>
    <w:rsid w:val="007B2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5E4"/>
  </w:style>
  <w:style w:type="paragraph" w:styleId="Revision">
    <w:name w:val="Revision"/>
    <w:hidden/>
    <w:uiPriority w:val="99"/>
    <w:semiHidden/>
    <w:rsid w:val="00A71742"/>
    <w:pPr>
      <w:spacing w:after="0" w:line="240" w:lineRule="auto"/>
    </w:pPr>
  </w:style>
  <w:style w:type="character" w:styleId="CommentReference">
    <w:name w:val="annotation reference"/>
    <w:basedOn w:val="DefaultParagraphFont"/>
    <w:uiPriority w:val="99"/>
    <w:semiHidden/>
    <w:unhideWhenUsed/>
    <w:rsid w:val="008217C6"/>
    <w:rPr>
      <w:sz w:val="16"/>
      <w:szCs w:val="16"/>
    </w:rPr>
  </w:style>
  <w:style w:type="paragraph" w:styleId="CommentText">
    <w:name w:val="annotation text"/>
    <w:basedOn w:val="Normal"/>
    <w:link w:val="CommentTextChar"/>
    <w:uiPriority w:val="99"/>
    <w:unhideWhenUsed/>
    <w:rsid w:val="008217C6"/>
    <w:pPr>
      <w:spacing w:line="240" w:lineRule="auto"/>
    </w:pPr>
    <w:rPr>
      <w:sz w:val="20"/>
      <w:szCs w:val="20"/>
    </w:rPr>
  </w:style>
  <w:style w:type="character" w:customStyle="1" w:styleId="CommentTextChar">
    <w:name w:val="Comment Text Char"/>
    <w:basedOn w:val="DefaultParagraphFont"/>
    <w:link w:val="CommentText"/>
    <w:uiPriority w:val="99"/>
    <w:rsid w:val="008217C6"/>
    <w:rPr>
      <w:sz w:val="20"/>
      <w:szCs w:val="20"/>
    </w:rPr>
  </w:style>
  <w:style w:type="paragraph" w:styleId="CommentSubject">
    <w:name w:val="annotation subject"/>
    <w:basedOn w:val="CommentText"/>
    <w:next w:val="CommentText"/>
    <w:link w:val="CommentSubjectChar"/>
    <w:uiPriority w:val="99"/>
    <w:semiHidden/>
    <w:unhideWhenUsed/>
    <w:rsid w:val="008217C6"/>
    <w:rPr>
      <w:b/>
      <w:bCs/>
    </w:rPr>
  </w:style>
  <w:style w:type="character" w:customStyle="1" w:styleId="CommentSubjectChar">
    <w:name w:val="Comment Subject Char"/>
    <w:basedOn w:val="CommentTextChar"/>
    <w:link w:val="CommentSubject"/>
    <w:uiPriority w:val="99"/>
    <w:semiHidden/>
    <w:rsid w:val="008217C6"/>
    <w:rPr>
      <w:b/>
      <w:bCs/>
      <w:sz w:val="20"/>
      <w:szCs w:val="20"/>
    </w:rPr>
  </w:style>
  <w:style w:type="character" w:styleId="Hyperlink">
    <w:name w:val="Hyperlink"/>
    <w:basedOn w:val="DefaultParagraphFont"/>
    <w:uiPriority w:val="99"/>
    <w:unhideWhenUsed/>
    <w:rsid w:val="00296664"/>
    <w:rPr>
      <w:color w:val="0563C1" w:themeColor="hyperlink"/>
      <w:u w:val="single"/>
    </w:rPr>
  </w:style>
  <w:style w:type="character" w:styleId="UnresolvedMention">
    <w:name w:val="Unresolved Mention"/>
    <w:basedOn w:val="DefaultParagraphFont"/>
    <w:uiPriority w:val="99"/>
    <w:semiHidden/>
    <w:unhideWhenUsed/>
    <w:rsid w:val="002966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1515</Words>
  <Characters>10154</Characters>
  <Application>Microsoft Office Word</Application>
  <DocSecurity>0</DocSecurity>
  <Lines>141</Lines>
  <Paragraphs>29</Paragraphs>
  <ScaleCrop>false</ScaleCrop>
  <Company/>
  <LinksUpToDate>false</LinksUpToDate>
  <CharactersWithSpaces>11640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Kipruto  Tallam</dc:creator>
  <cp:keywords/>
  <dc:description/>
  <cp:lastModifiedBy>Kipruto  Tallam</cp:lastModifiedBy>
  <cp:revision>24</cp:revision>
  <dcterms:created xsi:type="dcterms:W3CDTF">2026-05-06T17:35:00Z</dcterms:created>
  <dcterms:modified xsi:type="dcterms:W3CDTF">2026-05-08T05:32:00Z</dcterms:modified>
</cp:coreProperties>
</file>